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4E9A" w:rsidRDefault="00423FF4">
      <w:pPr>
        <w:pStyle w:val="Ttulo1"/>
        <w:pBdr>
          <w:bottom w:val="single" w:sz="18" w:space="3" w:color="D9D9D9"/>
        </w:pBdr>
        <w:rPr>
          <w:rFonts w:ascii="Arial" w:eastAsia="Times New Roman" w:hAnsi="Arial" w:cs="Arial"/>
          <w:color w:val="000000"/>
          <w:sz w:val="22"/>
          <w:szCs w:val="22"/>
        </w:rPr>
      </w:pPr>
      <w:r>
        <w:rPr>
          <w:rFonts w:ascii="Arial" w:eastAsia="Times New Roman" w:hAnsi="Arial" w:cs="Arial"/>
          <w:color w:val="000000"/>
          <w:sz w:val="22"/>
          <w:szCs w:val="22"/>
        </w:rPr>
        <w:t>Relació de Propostes de Millora</w:t>
      </w:r>
    </w:p>
    <w:p w:rsidR="00FB4E9A" w:rsidRDefault="00FB4E9A">
      <w:pPr>
        <w:rPr>
          <w:rFonts w:ascii="Arial" w:eastAsia="Times New Roman" w:hAnsi="Arial" w:cs="Arial"/>
          <w:color w:val="000000"/>
          <w:sz w:val="13"/>
          <w:szCs w:val="13"/>
        </w:rPr>
      </w:pPr>
    </w:p>
    <w:tbl>
      <w:tblPr>
        <w:tblW w:w="5000" w:type="pct"/>
        <w:jc w:val="center"/>
        <w:tblBorders>
          <w:top w:val="single" w:sz="4" w:space="0" w:color="CBCBCB"/>
          <w:left w:val="single" w:sz="4" w:space="0" w:color="CBCBCB"/>
          <w:bottom w:val="single" w:sz="4" w:space="0" w:color="CBCBCB"/>
          <w:right w:val="single" w:sz="4" w:space="0" w:color="CBCBCB"/>
        </w:tblBorders>
        <w:tblCellMar>
          <w:top w:w="15" w:type="dxa"/>
          <w:left w:w="15" w:type="dxa"/>
          <w:bottom w:w="15" w:type="dxa"/>
          <w:right w:w="15" w:type="dxa"/>
        </w:tblCellMar>
        <w:tblLook w:val="04A0"/>
      </w:tblPr>
      <w:tblGrid>
        <w:gridCol w:w="1348"/>
        <w:gridCol w:w="7496"/>
      </w:tblGrid>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340.M.187.2015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Propostes de millora dels estudis de Grau 2015-16</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75663278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75663278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75663278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75663278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Atenent al desfassatge entre aspectes teòrics recollits en les memòries de verificació i l'execució real dels plans d'estudi s'observa que es poden millorar els mecanismes estructurals dels estudis de Grau.</w:t>
                  </w:r>
                </w:p>
              </w:tc>
            </w:tr>
            <w:tr w:rsidR="00FB4E9A">
              <w:trPr>
                <w:divId w:val="7566327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7566327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 Millorar la coordinació entre titulacions b. Aportar propostes específiques de cada titulació </w:t>
                  </w:r>
                </w:p>
              </w:tc>
            </w:tr>
            <w:tr w:rsidR="00FB4E9A">
              <w:trPr>
                <w:divId w:val="7566327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Comissions de Titulació (4 reunions a l'any): - Anàlisi de les enquestes a l'estudiantat sobre les assignatures - Analitzar el desplegament de continguts i competències a les matèries i assignatures dels estudis. - Proposar millores sobre contiguts i desplegament de competències a la titulació Comissió de Coordinació Docent (5 reunions a l'any): - Anallitzar globalment els estudis del centre i la coordinació entre titulacions en quant al desplegament de continguts i competències, específiques i transversals, a les matèries i assignatures de les titulacions del centre - Realitzar propostes de millora transversals a les titulacions del centre sobre aquests elements </w:t>
                  </w:r>
                </w:p>
              </w:tc>
            </w:tr>
            <w:tr w:rsidR="00FB4E9A">
              <w:trPr>
                <w:divId w:val="7566327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7566327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7566327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7566327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Finalitzada </w:t>
                  </w:r>
                </w:p>
              </w:tc>
            </w:tr>
            <w:tr w:rsidR="00FB4E9A">
              <w:trPr>
                <w:divId w:val="7566327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 partir de les enquestes a l'estudiantat, dels informes dels responsables d'assignatures i de les propostes de les Comissions de titulació, es treballa cada any en la millora de la coordinació vertical entre les assignatures - S'han donat passos en la coordinació entre les matèries bàsiques de matemàtiques i física i les matèries especifiques de la titulació. - Ja s'han executat millores en aquesta coordinació en el grau d'enginyeria informática. </w:t>
                  </w:r>
                </w:p>
              </w:tc>
            </w:tr>
            <w:tr w:rsidR="00FB4E9A">
              <w:trPr>
                <w:divId w:val="7566327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Resultats obtinguts: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S'han realitzat i actualitzat els mapes de relacions entre assignatures per visualitzar les recomanacions en l'ordre de matricula entre les assignatures de la titulació. S'ha realitzat un quadre per visualitzar la aplicació dels temes tractats a les matèries de matemàtiques en la resta d'assignatures de materies especifiques de les titulacions de l'àrea industrial, i en la materia de matemàtiques al grau d'enginyeria informàtica. S'han concretat millores en els continguts de les assignatures de matemàtiques al grau d'enginyeria informática, per tal de millorar la coordinació entre aquestes assignatures, i en relació amb la resta de matèries.</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340.M.188.2015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Seguiment i millora del màster MUESAEI</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50340859"/>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 Màster MUESAEI</w:t>
                  </w:r>
                </w:p>
              </w:tc>
            </w:tr>
            <w:tr w:rsidR="00FB4E9A">
              <w:trPr>
                <w:divId w:val="150340859"/>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50340859"/>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50340859"/>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La baixa matrícula i la manca de coordinació pràctica entre les assignatures va contribuir que la Comissió Acadèmica de la UPC aturés per un curs acadèmic l'entrada d'estudiants al màster, a partir d'aquí es va treballar en redifinir aspectes i potenciar millores.</w:t>
                  </w:r>
                </w:p>
              </w:tc>
            </w:tr>
            <w:tr w:rsidR="00FB4E9A">
              <w:trPr>
                <w:divId w:val="15034085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5034085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 Millorar la Organització docent: Mida dels grups de laboratori del màster per el període 2014-15 Q2. Oferta de places i procés d’admissió en el màster. b. Millorar Horaris: Optimització de l’horari i seqüenciació de les assignatures del primer curs del màster per el període 2015-16. Horari actual. c. Millorar Continguts: Millora de l’adaptació i coordinació dels continguts de les assignatures al objectius del màster d’acord amb la reforma aprovada en la comissió permanent en 2014. d. Analitzar la situació. Debat i procés de millora: Realització d’un focus-group amb estudiants al final del primer quadrimestre </w:t>
                  </w:r>
                </w:p>
              </w:tc>
            </w:tr>
            <w:tr w:rsidR="00FB4E9A">
              <w:trPr>
                <w:divId w:val="15034085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Realització cada any d'un Focus-grup amb els estudiants del màster, amb l'ajut del Gabinet de Planificació Avaluació i Qualitat Comissió de Titulació del màster (4 o més reunions a l'any): - Anàlisi de les enquestes a l'estudiantat sobre les assignatures - Anàlisi dels resultats obtinguts mitjançant el Focus-grup - Anàlisi sobre el desplegament de continguts i competències a les matèries i assignatures del màster. - Anàlisi dels punts a millorar en quant a la organització docent, horaris i calendari docents - Propostes de millora sobre el desplegament de continguts i competències a les assignatures del màster Comissió de Coordinació Docent (5 reunions a l'any): - Incorporació de les propostes de millora en la organització docent i en la orientació de les assignatures</w:t>
                  </w:r>
                </w:p>
              </w:tc>
            </w:tr>
            <w:tr w:rsidR="00FB4E9A">
              <w:trPr>
                <w:divId w:val="15034085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Titulació: Màster universitari en Enginyeria en Sistemes Automàtics i Electrònica Industrial (MUESAEI) </w:t>
                  </w:r>
                </w:p>
              </w:tc>
            </w:tr>
            <w:tr w:rsidR="00FB4E9A">
              <w:trPr>
                <w:divId w:val="15034085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5034085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5034085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Finalitzada </w:t>
                  </w:r>
                </w:p>
              </w:tc>
            </w:tr>
            <w:tr w:rsidR="00FB4E9A">
              <w:trPr>
                <w:divId w:val="15034085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Des d'octubre de 2013, detecció de problemes, i entre febrer i juliol de 2014 s'han fet tasques per a la reactivació del màster i apostar per la orientació professional i afavorir que l'estudiant pugui fer pràctiques externes. S'està millorant els continguts, els equipaments de laboratori i la coordinació vertical entre assignatures: S'han fet inversions als laboratoris. Durant els anys 2015/16 i 2016/17 s'han analitzat i redefinit continguts de les assignatures atenent els objectius formatius del màster i les millores proposades a la comissió de titulació. D'acord amb l'anàlisi del Focus Grup, s'ha aprovat per Junta la proposta d'incorporació d'una assignatura optativa per l'any 2017/18 (Automatització i Digitalització Industrial) per completar els objectius formatius, i s'ha continuat millorant la distribució horària de les assignatures del màster, en franges rotatòries a les tardes.</w:t>
                  </w:r>
                </w:p>
              </w:tc>
            </w:tr>
            <w:tr w:rsidR="00FB4E9A">
              <w:trPr>
                <w:divId w:val="15034085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Resultats obtinguts: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La opinió dels estudiants recollida a les enquestes sobre les assignatures del master ha millorat sensiblement. S'ha implantat l'assignatura optativa Automatització i Digitalització Industrial l'any acadèmic 2016/17, amb molt bona acollida entre els estudiants, orientada a la industria 4.0</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340.M.189.2015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Dobles Titulacions (simultaneïtat estudis)</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6850632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6850632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6850632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6850632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 detecta que estudiants del Grau GEM cursen alhora GEDIDP i tenen problemes per compaginar horaris. Els Graus que oferta el Centre presenten una fase inicial i una sèrie d'especialitzacions que es poden potenciar en forma de dobles titulacions ja que la inserció laboral mostra que es treballa de forma multidisciplicar i calen coneixements amplis en tecnologia.</w:t>
                  </w:r>
                </w:p>
              </w:tc>
            </w:tr>
            <w:tr w:rsidR="00FB4E9A">
              <w:trPr>
                <w:divId w:val="6850632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6850632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 Elaborar document de justificació b. Facilitar la simultaneïtat d’estudis amb propostes </w:t>
                  </w:r>
                </w:p>
              </w:tc>
            </w:tr>
            <w:tr w:rsidR="00FB4E9A">
              <w:trPr>
                <w:divId w:val="6850632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Analitzar el nombre d'estudiants que estan realitzat alguna simultaneïtat d'estudis entre les titulacions del centre, per detectar la demanda actual de dobles titulacions. Analitzar les necessitats de coordinació d'horaris i proves d'avaluació per als principals col·lectius anteriors Elaborar la proposta de dobles titulacions al centre per iniciar-se l'any 2018/19 i places que es podrien oferir. Elaborar la proposta d'organització docent de les dobles titulacions que es proposin</w:t>
                  </w:r>
                </w:p>
              </w:tc>
            </w:tr>
            <w:tr w:rsidR="00FB4E9A">
              <w:trPr>
                <w:divId w:val="6850632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6850632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6850632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6850632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6850632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La idea es porta gestant des de la definició del Pla Estratègic i en concret en l'eix de singularització, i ara que es vol concretar. Ja s'ha elaborant una proposta de temporització d'una doble titulació entre el GEM i el GEDIDP. S'esta fent el recompte d'estudiants que estan realitzat alguna simultaneïtat d'estudis entre les titulacions del centre.</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340.M.190.2015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Revisió Normativa Acadèmica 2015-16 (Part I)</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rsidRPr="00DC194D">
              <w:trPr>
                <w:divId w:val="751197796"/>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Pr="00DC194D" w:rsidRDefault="00423FF4">
                  <w:pPr>
                    <w:rPr>
                      <w:rFonts w:ascii="Arial" w:eastAsia="Times New Roman" w:hAnsi="Arial" w:cs="Arial"/>
                      <w:color w:val="000000"/>
                      <w:sz w:val="9"/>
                      <w:szCs w:val="9"/>
                      <w:lang w:val="en-US"/>
                    </w:rPr>
                  </w:pPr>
                  <w:r w:rsidRPr="00DC194D">
                    <w:rPr>
                      <w:rFonts w:ascii="Arial" w:eastAsia="Times New Roman" w:hAnsi="Arial" w:cs="Arial"/>
                      <w:color w:val="000000"/>
                      <w:sz w:val="9"/>
                      <w:szCs w:val="9"/>
                      <w:lang w:val="en-US"/>
                    </w:rPr>
                    <w:t>Cap Unitat Suport a la Docència i Qualitat</w:t>
                  </w:r>
                </w:p>
              </w:tc>
            </w:tr>
            <w:tr w:rsidR="00FB4E9A">
              <w:trPr>
                <w:divId w:val="751197796"/>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751197796"/>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3: Eficàcia del sistema de garantia interna de la qualitat de la titulació</w:t>
                  </w:r>
                </w:p>
              </w:tc>
            </w:tr>
            <w:tr w:rsidR="00FB4E9A">
              <w:trPr>
                <w:divId w:val="751197796"/>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Constanment es revisa que la normativa acadèmica afavoreixi l'execució correcta dels plans d'estudi, en aquest sentit s'atenen totes aquelles incidències aportades pels estudiants que ajuden a resoldre desavinences entre la normativa i els problemes que es troben els usuaris.</w:t>
                  </w:r>
                </w:p>
              </w:tc>
            </w:tr>
            <w:tr w:rsidR="00FB4E9A">
              <w:trPr>
                <w:divId w:val="751197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751197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a.Modificar cursar Optativitat: Modificació de l’obligatorietat de cursar un itinerari d’assignatures optatives. Oferta d’itinerari optatiu en electrònica per mecànica i disseny orientat al màster b.Aportar criteris a considerar en l’avaluació curricular durant el transitori de canvi de distribució. </w:t>
                  </w:r>
                  <w:proofErr w:type="gramStart"/>
                  <w:r>
                    <w:rPr>
                      <w:rFonts w:ascii="Arial" w:eastAsia="Times New Roman" w:hAnsi="Arial" w:cs="Arial"/>
                      <w:color w:val="000000"/>
                      <w:sz w:val="9"/>
                      <w:szCs w:val="9"/>
                    </w:rPr>
                    <w:t>d’assignatures</w:t>
                  </w:r>
                  <w:proofErr w:type="gramEnd"/>
                  <w:r>
                    <w:rPr>
                      <w:rFonts w:ascii="Arial" w:eastAsia="Times New Roman" w:hAnsi="Arial" w:cs="Arial"/>
                      <w:color w:val="000000"/>
                      <w:sz w:val="9"/>
                      <w:szCs w:val="9"/>
                    </w:rPr>
                    <w:t xml:space="preserve"> en les fases inicial, intermèdia i final. c.Revisar el procés d'extinció dels plans antics: Revisió del calendari </w:t>
                  </w:r>
                </w:p>
              </w:tc>
            </w:tr>
            <w:tr w:rsidR="00FB4E9A">
              <w:trPr>
                <w:divId w:val="751197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Actualitzar la normativa acadèmica 2015/16 d'acord amb els criteris acordats a les comissions de titulació i la comissió de coordinació docent</w:t>
                  </w:r>
                </w:p>
              </w:tc>
            </w:tr>
            <w:tr w:rsidR="00FB4E9A">
              <w:trPr>
                <w:divId w:val="751197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751197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751197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751197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Finalitzada </w:t>
                  </w:r>
                </w:p>
              </w:tc>
            </w:tr>
            <w:tr w:rsidR="00FB4E9A">
              <w:trPr>
                <w:divId w:val="751197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S'ha revisat la normativa acadèmica per part de la Comissió de Coordinació docent i s'ha portat a aprovació a la Comissió Permanent.</w:t>
                  </w:r>
                </w:p>
              </w:tc>
            </w:tr>
            <w:tr w:rsidR="00FB4E9A">
              <w:trPr>
                <w:divId w:val="751197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Resultats obtinguts: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Normativa Acadèmica EPSEVG 2015/16 revisada i actualitzada, d'acord amb els criteris acordats al centre i amb la normativa genèrica UPC, i atenent les incidències detectades als processos docents.</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340.M.191.2015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Quadres automàtics de convalidació/reconeixement. Quadres de recomanacions.</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10731486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110731486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10731486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3: Eficàcia del sistema de garantia interna de la qualitat de la titulació</w:t>
                  </w:r>
                </w:p>
              </w:tc>
            </w:tr>
            <w:tr w:rsidR="00FB4E9A">
              <w:trPr>
                <w:divId w:val="110731486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Les tasques de convalidacions, reconeixement de crèdits i recomanacions es fan de forma artesanal entre la Secretaria acadèmica del Centre i l'equip directiu. En aquest sentit cal treballar en crear mecanismes i automatitzar-los per tal de millora la seva eficàcia. Aquest Quadres automàtics poden afavorir el desplegament de l'acció tutorial.</w:t>
                  </w:r>
                </w:p>
              </w:tc>
            </w:tr>
            <w:tr w:rsidR="00FB4E9A">
              <w:trPr>
                <w:divId w:val="110731486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10731486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a.Revisar la Taula d’Adaptació del grau en Enginyeria Mecànica amb ET. Mecànica (Annex I de la Normativa Acadèmica EPSEVG). b.Analitzar i revisar les convalidacions actuals dels CFGS amb els Graus </w:t>
                  </w:r>
                </w:p>
              </w:tc>
            </w:tr>
            <w:tr w:rsidR="00FB4E9A">
              <w:trPr>
                <w:divId w:val="110731486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Comissions de titulació i Comissió de Coordinació Docent - Revisió de les taules d'adaptació dels Graus amb les anteriors Enginyeries Tècniques - Revisió i actualització de les convalidacions dels CFGS amb els graus - Revisió de les taules de convalidació / reconeixement entre assignatures - Revisió i publicació al web de les relacions entre assignatures i recomanacions a considerar en la matrícula.</w:t>
                  </w:r>
                </w:p>
              </w:tc>
            </w:tr>
            <w:tr w:rsidR="00FB4E9A">
              <w:trPr>
                <w:divId w:val="110731486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10731486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10731486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10731486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Finalitzada </w:t>
                  </w:r>
                </w:p>
              </w:tc>
            </w:tr>
            <w:tr w:rsidR="00FB4E9A">
              <w:trPr>
                <w:divId w:val="110731486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Ja es disposa de taules prèvies així com taules que mostren les convalidacions entre CFGS i les titulacions de Grau del Centre, però cal avançar en les recomanacions de matrícula un cop completada la millora de la coordinació vertical d'assignatures. Durant la'ny 2015/16 i 2016/17 s'han revisat les taules de adaptació dels Graus amb les anteriors Enginyeries Tècniques, s'han actualitzat alguns quadres de convalidació de CFGS amb els graus (d'acord amb els altres centre4s de la UPC), les taules de convalidació / reconeixement entre assignatures dels propis graus del centre, i s'han revisat i publicat a la web de les relacions entre assignatures i recomanacions a considerar en la matrícula.</w:t>
                  </w:r>
                </w:p>
              </w:tc>
            </w:tr>
            <w:tr w:rsidR="00FB4E9A">
              <w:trPr>
                <w:divId w:val="110731486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Resultats obtinguts: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Taules d'adaptació dels Graus amb les anteriors Enginyeries Tècniques actualitzades i recollides a la Normativa Acadèmica de l'EPSEVG, publicada al web del centre. Quadres de convalidació d'alguns CFGS amb els graus, actualitzats al web de la Generalitat, Taules de convalidació / reconeixement (entre assignatures de les titulacions del propi centre, i amb altres centres de la UPC de l'àrea industrial) actualitzades i recollides a la Normativa Acadèmica de l'EPSEVG, publicada al web del centre. Relacions entre assignatures i recomanacions a considerar en la matrícula, publicades al web ce centre, apartat plans d'estudi. </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340.M.192.2015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Desplegament de les competènces a les titulacions</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36132759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36132759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36132759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6: Qualitat dels resultats dels programes formatius</w:t>
                  </w:r>
                </w:p>
              </w:tc>
            </w:tr>
            <w:tr w:rsidR="00FB4E9A">
              <w:trPr>
                <w:divId w:val="36132759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En la definició de les titulacions es va fer un llistat de competències específiques i transversals que identifiquen plenament les titulacions. Malgrat això, la UPC ha de millorar la forma d'avaluar les competències des d'un punt de vista institucional. Això fa que al professor a l'aula li manquen mecanismes per avaluar objectivament algunes competències.</w:t>
                  </w:r>
                </w:p>
              </w:tc>
            </w:tr>
            <w:tr w:rsidR="00FB4E9A">
              <w:trPr>
                <w:divId w:val="3613275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3613275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a.Analitzar la situació actual en la UPC en el àmbit de competències. b.Desplegar i avaluar competències </w:t>
                  </w:r>
                </w:p>
              </w:tc>
            </w:tr>
            <w:tr w:rsidR="00FB4E9A">
              <w:trPr>
                <w:divId w:val="3613275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Revisar el desplegament de cada competència a cada titulació. Identificar les accions formatives vinculades a l'avaluació de cada competència. Identificar les condicions per donar por assolida cada competència</w:t>
                  </w:r>
                </w:p>
              </w:tc>
            </w:tr>
            <w:tr w:rsidR="00FB4E9A">
              <w:trPr>
                <w:divId w:val="3613275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3613275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3613275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3613275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3613275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Alguns professors aporten experiència en el desplegament de competències i avaluació. En les enquestes a egressats, es valora molt positivament les competències associades a les titulacions. En el centre es vol apostar per la metodologia activa PBL project based learning, de forma que cal aprofundir en com mesurar competències com treball en equip i el rol de cada estudiant dins equip multidisciplinari (algunes vegades fins i tot internacional). Queda pendet l'anàlisi i millora del desplegament de les competències a cada titulació</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340.M.193.2015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Organització docent 2014-15</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201988745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201988745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201988745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2: Pertinència de la informació pública</w:t>
                  </w:r>
                </w:p>
              </w:tc>
            </w:tr>
            <w:tr w:rsidR="00FB4E9A">
              <w:trPr>
                <w:divId w:val="201988745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Conjuntament amb la Unitat de Suport a la Docència i Qualitat, revisar els mecanismes d'organització docent en funció de la revisió de la normativa acadèmica, atendre a plans d'estudi en extinció, actualització de guies docents.</w:t>
                  </w:r>
                </w:p>
              </w:tc>
            </w:tr>
            <w:tr w:rsidR="00FB4E9A">
              <w:trPr>
                <w:divId w:val="201988745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201988745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a.Planificar Tribunals TFG (2 al 5 de febrer 2015). Possibles tribunals PFC de pla vell a juliol 2015. b.Distribuir grups i hores, horaris 2014-15 Q2 c.Actualitzar guies docents 2014-15 Q2 d.Proposar temes a tractar en les Comissions de Coordinació Docent 2014/15 </w:t>
                  </w:r>
                </w:p>
              </w:tc>
            </w:tr>
            <w:tr w:rsidR="00FB4E9A">
              <w:trPr>
                <w:divId w:val="201988745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Comissió de Coordinació Docent: - Organització dels processos dels TFG: Lectures del 2 al 5 de febrer 2015. - Organització de tribunals PFC de pla vell a juliol i setembre de 2015. - Distribució de grups i hores, horaris 2014-15 Q2 - Actualitzar guies docents 2014-15 Q2 - Proposta de temes a tractar en la Comissions de Coordinació Docent </w:t>
                  </w:r>
                </w:p>
              </w:tc>
            </w:tr>
            <w:tr w:rsidR="00FB4E9A">
              <w:trPr>
                <w:divId w:val="201988745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201988745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201988745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201988745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Finalitzada </w:t>
                  </w:r>
                </w:p>
              </w:tc>
            </w:tr>
            <w:tr w:rsidR="00FB4E9A">
              <w:trPr>
                <w:divId w:val="201988745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Organització de les lectures dels TFG als graus i als plans en extinció Actualització de la normativa de Treball Fi de Grau Organització de grups i horaris dels graus i màster Actualització de les guies docents Definició de la llista de temes futurs a tractar a la Comissió de Coordinació Docent. </w:t>
                  </w:r>
                </w:p>
              </w:tc>
            </w:tr>
            <w:tr w:rsidR="00FB4E9A">
              <w:trPr>
                <w:divId w:val="201988745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Resultats obtinguts: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Processos dels TFG realitzats, als graus i als plans en extinció, antigues enginyeries tècniques, al juliol i setembre de 2015. S'ha millorat la normativa de Treball Fi de Grau per concretar els processos que ho requerien. S'ha organitzat i realitzat la distribució de grups i horaris dels graus i màster d'acord amb els criteris acordats. S'han actualitzat les guies docents que ho requerien. S'ha definit la llista de temes futurs a tractar a la Comissió de Coordinació Docent. </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340.M.195.2015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Desenvolupament d'intranet via web i millora del Sistema de Garantia Interna de Qualitat del Centre</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48262286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de Qualitat</w:t>
                  </w:r>
                </w:p>
              </w:tc>
            </w:tr>
            <w:tr w:rsidR="00FB4E9A">
              <w:trPr>
                <w:divId w:val="148262286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48262286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3: Eficàcia del sistema de garantia interna de la qualitat de la titulació</w:t>
                  </w:r>
                </w:p>
              </w:tc>
            </w:tr>
            <w:tr w:rsidR="00FB4E9A">
              <w:trPr>
                <w:divId w:val="148262286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Per tal de coordinar les activitats de la Comissió de Qualitat, la Unitat de Suport a la Docència i Qualitat i l’Equip Directiu es disposa d’una intranet generada amb genweb anomenada Espai EPSEVG. Aquest espai permet el treball col•laboratiu intern i alhora es sincronitza amb la informació pública del Centre i de la UPC.</w:t>
                  </w:r>
                </w:p>
              </w:tc>
            </w:tr>
            <w:tr w:rsidR="00FB4E9A">
              <w:trPr>
                <w:divId w:val="148262286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48262286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Estructurar intranet per al Sistema de Qualitat EPSEVG b. Analitzar la documentació interna de treball per als grups d'interès. c- Analitzar la política de información pública en el web del Centre conjuntament amb el GPAQ de la UPC.</w:t>
                  </w:r>
                </w:p>
              </w:tc>
            </w:tr>
            <w:tr w:rsidR="00FB4E9A">
              <w:trPr>
                <w:divId w:val="148262286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Desenvolupar la utilització de la intranet i del web com eines de treball i de publicació d'informació del Sistema de Garantia Interna de Qualitat SGIQ Desenvolupar i definir amb més detall el procés del Sistema de Garantia Interna de Qualitat SGIQ: "7.1 Publicació d'Informació i rendició de comptes" </w:t>
                  </w:r>
                </w:p>
              </w:tc>
            </w:tr>
            <w:tr w:rsidR="00FB4E9A">
              <w:trPr>
                <w:divId w:val="148262286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48262286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48262286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48262286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48262286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Per donar suport al procés d'acreditació, a la Unitat de Suport a la Docència i Qualitat, a les Comissions d'Àrea Docent, Equip Directiu, es disposa de l'espai epsevg, intranet que permet treballar la documentació de forma interna i passar al web del Centre aquella informació pública que es consideri rellevant. Cal continuar treballant en millorar l'estructura de la intranet i que sigui útil per a tots els grups d'interès.Enllaç URL: https://espai.epsevg.upc.edu. Hem iniciat la participació de membres del centre en grups de treball de la Xarxa de Qualitat de la UPC, per desenvolupar i unificar a la UPC els processos del SGIQ.</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340.M.196.2015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Vinculació de la gestió de dades amb el SGIQ</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46959415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Cap Unitat Suport a la Docència</w:t>
                  </w:r>
                </w:p>
              </w:tc>
            </w:tr>
            <w:tr w:rsidR="00FB4E9A">
              <w:trPr>
                <w:divId w:val="46959415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46959415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3: Eficàcia del sistema de garantia interna de la qualitat de la titulació</w:t>
                  </w:r>
                </w:p>
              </w:tc>
            </w:tr>
            <w:tr w:rsidR="00FB4E9A">
              <w:trPr>
                <w:divId w:val="46959415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Actualment la gestió de dades per a la organitzacó docent es contempla en l'aplicatiu anomenat PRISMA. Aquesta eina cal vincular-la de forma més eficient amb el SGIQ de forma de preparar mecanismes per a extracció de dades rellevants per a potenciar la presa de decisions.</w:t>
                  </w:r>
                </w:p>
              </w:tc>
            </w:tr>
            <w:tr w:rsidR="00FB4E9A">
              <w:trPr>
                <w:divId w:val="46959415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46959415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Afegir noves configuracions a PRISMA. b. Analitzar com vincular PRISMA amb SGIQ. c. Extracció de dades i elaboració d'informes. d. Actualitzar aplicatius per la gestió docent: Horaris, calendaris docents, reserva de sales.</w:t>
                  </w:r>
                </w:p>
              </w:tc>
            </w:tr>
            <w:tr w:rsidR="00FB4E9A">
              <w:trPr>
                <w:divId w:val="46959415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Elaborar un model d'informe amb els resultats i indicadors necessaris per tal que sigui útil en l'anàlisi del funcionament de cada titulació i per la presa de decisions sobre aspectes a millorar o sobre punts forts a potenciar. Actualitzar i desenvolupar eines de suport a la gestió docent dels cada any acadèmic Proposar eines per facilitar i automatitzar: - La elaboració dels informes anteriors i per la obtenció de indicadors i resultats. - La gestió docent de cada any acadèmic </w:t>
                  </w:r>
                </w:p>
              </w:tc>
            </w:tr>
            <w:tr w:rsidR="00FB4E9A">
              <w:trPr>
                <w:divId w:val="46959415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46959415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mitja </w:t>
                  </w:r>
                </w:p>
              </w:tc>
            </w:tr>
            <w:tr w:rsidR="00FB4E9A">
              <w:trPr>
                <w:divId w:val="46959415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1/1/2017</w:t>
                  </w:r>
                </w:p>
              </w:tc>
            </w:tr>
            <w:tr w:rsidR="00FB4E9A">
              <w:trPr>
                <w:divId w:val="46959415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46959415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Les funcionalitats dins PRISMA s'han anat redimensionant en els darrers anys, de manera que es disposa de mecanismes per a l'aceptació de propostes de TFG. Cal afinar aquests mecanismes per a donar eines útils a la unitat USDQ i al SGIQ. Hem iniciat la participació de membres del centre en grups de treball de la Xarxa de Qualitat de la UPC, per simplificar i facilitar l'obtenció dels indicadors</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340.M.197.2015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Automatització de processos del SGIQ</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43636536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Cap Unitat Suport a la Docència</w:t>
                  </w:r>
                </w:p>
              </w:tc>
            </w:tr>
            <w:tr w:rsidR="00FB4E9A">
              <w:trPr>
                <w:divId w:val="43636536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43636536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3: Eficàcia del sistema de garantia interna de la qualitat de la titulació</w:t>
                  </w:r>
                </w:p>
              </w:tc>
            </w:tr>
            <w:tr w:rsidR="00FB4E9A">
              <w:trPr>
                <w:divId w:val="43636536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El disseny del SGIQ porta associada una execució de processols que requereix un suport informàtic important per acollir la gestió de les dades, la gestió dels grups d'interès, les notificacions, la supervisió del procés en general. </w:t>
                  </w:r>
                </w:p>
              </w:tc>
            </w:tr>
            <w:tr w:rsidR="00FB4E9A">
              <w:trPr>
                <w:divId w:val="43636536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43636536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Redissenar el SGIQ si escau b. Automatitzar els processos del SGIQ amb eina TOTQ c. Afegir funcionalitat a l'eina TOTQ d. Connectar PRISMA i TOTQ i analitzar les dades significatives mitjançant prospecció de dades.</w:t>
                  </w:r>
                </w:p>
              </w:tc>
            </w:tr>
            <w:tr w:rsidR="00FB4E9A">
              <w:trPr>
                <w:divId w:val="43636536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Colaborar en els grups de treball de la Xarxa de Qualitat de la UPC, per tal de redefinir, simplificar i automatitzar el més posible els procesos del SGIQ Hem iniciat la participació de membres del centre en el grup de treball de Sistemes d'informació de la Xarxa de Qualitat de la UPC</w:t>
                  </w:r>
                  <w:proofErr w:type="gramStart"/>
                  <w:r>
                    <w:rPr>
                      <w:rFonts w:ascii="Arial" w:eastAsia="Times New Roman" w:hAnsi="Arial" w:cs="Arial"/>
                      <w:color w:val="000000"/>
                      <w:sz w:val="9"/>
                      <w:szCs w:val="9"/>
                    </w:rPr>
                    <w:t>,,</w:t>
                  </w:r>
                  <w:proofErr w:type="gramEnd"/>
                  <w:r>
                    <w:rPr>
                      <w:rFonts w:ascii="Arial" w:eastAsia="Times New Roman" w:hAnsi="Arial" w:cs="Arial"/>
                      <w:color w:val="000000"/>
                      <w:sz w:val="9"/>
                      <w:szCs w:val="9"/>
                    </w:rPr>
                    <w:t xml:space="preserve"> dins l'objectiu generic a dela Xarxa de unificar i simplificar a la UPC els processos del SGIQ.</w:t>
                  </w:r>
                </w:p>
              </w:tc>
            </w:tr>
            <w:tr w:rsidR="00FB4E9A">
              <w:trPr>
                <w:divId w:val="43636536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43636536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43636536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43636536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43636536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De cara a la certificació del SGIQ cal passar d'una manipulació artesanal del SGIQ a una automatització de processos disposant eines informàtiques a les que cal afegir la gestió de dades (PRISMA) i l'elaboració d'informes (eines estadístiques) i coordinació de la gestió de la qualitat dins UPC. Estem treballant a la Xarxa de Qualitat de la UPC, en el grup de treball de Sistemes d'Informació, per tal de facilitar i automatitzar el posible la obtenció d'indicadors i d'analisi de dades dins el procés de millora continua de les titulacions.</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340.M.198.2015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Revisió Coordinació GPAQ i Sistema de Qualitat EPSEVG</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89616919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de Qualitat</w:t>
                  </w:r>
                </w:p>
              </w:tc>
            </w:tr>
            <w:tr w:rsidR="00FB4E9A">
              <w:trPr>
                <w:divId w:val="89616919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89616919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3: Eficàcia del sistema de garantia interna de la qualitat de la titulació</w:t>
                  </w:r>
                </w:p>
              </w:tc>
            </w:tr>
            <w:tr w:rsidR="00FB4E9A">
              <w:trPr>
                <w:divId w:val="89616919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L'acreditació suposa que cada Centre ha de gestionar la qualitat, de manera que s'ha de valorar quins serveis de qualitat estan centralitzats des del Gabinet de Planificació, Avaluació de la Qualitat i quins serveis es disposen en el Centre.</w:t>
                  </w:r>
                </w:p>
              </w:tc>
            </w:tr>
            <w:tr w:rsidR="00FB4E9A">
              <w:trPr>
                <w:divId w:val="8961691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8961691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Analitzar la Col·laboració entre GPAQ i el Centre b. Valorar persones, recursos i equipaments c. Definir Calendari de coordinació de tasques entre GPAQ i el Centre.</w:t>
                  </w:r>
                </w:p>
              </w:tc>
            </w:tr>
            <w:tr w:rsidR="00FB4E9A">
              <w:trPr>
                <w:divId w:val="8961691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8961691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8961691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Mitja </w:t>
                  </w:r>
                </w:p>
              </w:tc>
            </w:tr>
            <w:tr w:rsidR="00FB4E9A">
              <w:trPr>
                <w:divId w:val="8961691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8961691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8961691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La confecció de la guia d'evidències per aquest autoinforme ha implicat una coordinació efectiva entre GPAQ i el sistema de qualitat del Centre. A partir d'aquí s'ha de valorar com continuar amb aquesta coordinació ja que s'ha mostrat eficient i útil I compartir l'experiència amb els sistemes de qualitat d'altres centres.</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340.M.199.2015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Consolidació de Jornades d'Innovació Docent, Qualitat i Emprenedoria</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696269709"/>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de Qualitat</w:t>
                  </w:r>
                </w:p>
              </w:tc>
            </w:tr>
            <w:tr w:rsidR="00FB4E9A">
              <w:trPr>
                <w:divId w:val="1696269709"/>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696269709"/>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3: Eficàcia del sistema de garantia interna de la qualitat de la titulació</w:t>
                  </w:r>
                </w:p>
              </w:tc>
            </w:tr>
            <w:tr w:rsidR="00FB4E9A">
              <w:trPr>
                <w:divId w:val="1696269709"/>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Atenent a la necessitat de disposar d'espais de diàleg entre PDI, PAS i Estudiantat es necessari revisar l'estat actual d'aquestes jornades, que s'integrin dins Pla Formació ICE i que aportin evidències clares de formació.</w:t>
                  </w:r>
                </w:p>
              </w:tc>
            </w:tr>
            <w:tr w:rsidR="00FB4E9A">
              <w:trPr>
                <w:divId w:val="169626970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69626970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Revisar el públic al que van dirigides les jornades. b. Revisar la forma de les jornades per potenciar el debat entre els grups d'interès. c. Millorar la Difusió i promoció de les jornades.</w:t>
                  </w:r>
                </w:p>
              </w:tc>
            </w:tr>
            <w:tr w:rsidR="00FB4E9A">
              <w:trPr>
                <w:divId w:val="169626970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169626970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69626970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69626970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69626970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69626970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La valoració de les enquestes en edicions anteriors ha estat positiva, però cal consolidar aquestes jornades per a que tots els grups d'interès valorin que la formació continua i el debat afavoreixen la millora de l'eficàcia de la qualitat de la formació, la innovació i el lligam amb el mon empresarial.</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340.M.200.2015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Valoració dels Serveis de Suport Acadèmics</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89997437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Administrador</w:t>
                  </w:r>
                </w:p>
              </w:tc>
            </w:tr>
            <w:tr w:rsidR="00FB4E9A">
              <w:trPr>
                <w:divId w:val="189997437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89997437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3: Eficàcia del sistema de garantia interna de la qualitat de la titulació</w:t>
                  </w:r>
                </w:p>
              </w:tc>
            </w:tr>
            <w:tr w:rsidR="00FB4E9A">
              <w:trPr>
                <w:divId w:val="189997437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partir de la baixa valoració de l'estudiantat sobre els serveis de suport acadèmic cal fer una valoració dels serveis actuals per analitzar i proposar, si s'escau, millores de funcionament.</w:t>
                  </w:r>
                </w:p>
              </w:tc>
            </w:tr>
            <w:tr w:rsidR="00FB4E9A">
              <w:trPr>
                <w:divId w:val="18999743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8999743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DC194D" w:rsidRPr="00D116D3" w:rsidRDefault="00DC194D" w:rsidP="00DC194D">
                  <w:pPr>
                    <w:rPr>
                      <w:rFonts w:ascii="Arial" w:eastAsia="Times New Roman" w:hAnsi="Arial" w:cs="Arial"/>
                      <w:color w:val="000000"/>
                      <w:sz w:val="9"/>
                      <w:szCs w:val="9"/>
                      <w:highlight w:val="yellow"/>
                    </w:rPr>
                  </w:pPr>
                  <w:r>
                    <w:rPr>
                      <w:rFonts w:ascii="Arial" w:eastAsia="Times New Roman" w:hAnsi="Arial" w:cs="Arial"/>
                      <w:color w:val="000000"/>
                      <w:sz w:val="9"/>
                      <w:szCs w:val="9"/>
                    </w:rPr>
                    <w:t xml:space="preserve">a. </w:t>
                  </w:r>
                  <w:r w:rsidRPr="00D116D3">
                    <w:rPr>
                      <w:rFonts w:ascii="Arial" w:eastAsia="Times New Roman" w:hAnsi="Arial" w:cs="Arial"/>
                      <w:color w:val="000000"/>
                      <w:sz w:val="9"/>
                      <w:szCs w:val="9"/>
                      <w:highlight w:val="yellow"/>
                    </w:rPr>
                    <w:t xml:space="preserve">Valorar la percepció dels serveis acadèmic que tenen PAS, PDI i estudiantat. </w:t>
                  </w:r>
                </w:p>
                <w:p w:rsidR="00DC194D" w:rsidRPr="00D116D3" w:rsidRDefault="00DC194D" w:rsidP="00DC194D">
                  <w:p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b. Analitzar la situació actual dels Serveis.</w:t>
                  </w:r>
                </w:p>
                <w:p w:rsidR="00FB4E9A" w:rsidRDefault="00DC194D" w:rsidP="00DC194D">
                  <w:pPr>
                    <w:rPr>
                      <w:rFonts w:ascii="Arial" w:eastAsia="Times New Roman" w:hAnsi="Arial" w:cs="Arial"/>
                      <w:color w:val="000000"/>
                      <w:sz w:val="9"/>
                      <w:szCs w:val="9"/>
                    </w:rPr>
                  </w:pPr>
                  <w:r w:rsidRPr="00D116D3">
                    <w:rPr>
                      <w:rFonts w:ascii="Arial" w:eastAsia="Times New Roman" w:hAnsi="Arial" w:cs="Arial"/>
                      <w:color w:val="000000"/>
                      <w:sz w:val="9"/>
                      <w:szCs w:val="9"/>
                      <w:highlight w:val="yellow"/>
                    </w:rPr>
                    <w:t>c. Afegir propostes de millora</w:t>
                  </w:r>
                  <w:proofErr w:type="gramStart"/>
                  <w:r w:rsidRPr="00D116D3">
                    <w:rPr>
                      <w:rFonts w:ascii="Arial" w:eastAsia="Times New Roman" w:hAnsi="Arial" w:cs="Arial"/>
                      <w:color w:val="000000"/>
                      <w:sz w:val="9"/>
                      <w:szCs w:val="9"/>
                      <w:highlight w:val="yellow"/>
                    </w:rPr>
                    <w:t>.</w:t>
                  </w:r>
                  <w:r w:rsidR="00423FF4">
                    <w:rPr>
                      <w:rFonts w:ascii="Arial" w:eastAsia="Times New Roman" w:hAnsi="Arial" w:cs="Arial"/>
                      <w:color w:val="000000"/>
                      <w:sz w:val="9"/>
                      <w:szCs w:val="9"/>
                    </w:rPr>
                    <w:t>.</w:t>
                  </w:r>
                  <w:proofErr w:type="gramEnd"/>
                </w:p>
              </w:tc>
            </w:tr>
            <w:tr w:rsidR="00FB4E9A">
              <w:trPr>
                <w:divId w:val="18999743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DC194D" w:rsidRPr="00D116D3" w:rsidRDefault="00DC194D" w:rsidP="00DC194D">
                  <w:pPr>
                    <w:pStyle w:val="Prrafodelista"/>
                    <w:numPr>
                      <w:ilvl w:val="0"/>
                      <w:numId w:val="1"/>
                    </w:num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 xml:space="preserve">Analitzar les enquestes de satisfacció realitzades i indicador per comprovar les queixes i peticions més demandades </w:t>
                  </w:r>
                </w:p>
                <w:p w:rsidR="00DC194D" w:rsidRPr="00D116D3" w:rsidRDefault="00DC194D" w:rsidP="00DC194D">
                  <w:pPr>
                    <w:pStyle w:val="Prrafodelista"/>
                    <w:numPr>
                      <w:ilvl w:val="0"/>
                      <w:numId w:val="1"/>
                    </w:num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Analitzar l’aplicatiu de reserves d’espais i recursos. Analitzar el programari actual de Foxpro, i migració de dades a l’aplicatiu genweb.</w:t>
                  </w:r>
                </w:p>
                <w:p w:rsidR="00DC194D" w:rsidRPr="00D116D3" w:rsidRDefault="00DC194D" w:rsidP="00DC194D">
                  <w:pPr>
                    <w:pStyle w:val="Prrafodelista"/>
                    <w:numPr>
                      <w:ilvl w:val="0"/>
                      <w:numId w:val="1"/>
                    </w:num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Reorganitzar els procediments de gestió acadèmica i dotar de més recursos personals a la USD.</w:t>
                  </w:r>
                </w:p>
                <w:p w:rsidR="00DC194D" w:rsidRPr="00D116D3" w:rsidRDefault="00DC194D" w:rsidP="00DC194D">
                  <w:pPr>
                    <w:pStyle w:val="Prrafodelista"/>
                    <w:numPr>
                      <w:ilvl w:val="0"/>
                      <w:numId w:val="1"/>
                    </w:num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Canalitzar els processos de Relacions Internacionals amb els processos de la USD per tal optimitzar la gestió i atenció als usuaris</w:t>
                  </w:r>
                </w:p>
                <w:p w:rsidR="00DC194D" w:rsidRPr="00D116D3" w:rsidRDefault="00DC194D" w:rsidP="00DC194D">
                  <w:pPr>
                    <w:pStyle w:val="Prrafodelista"/>
                    <w:numPr>
                      <w:ilvl w:val="0"/>
                      <w:numId w:val="1"/>
                    </w:num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Proposta de nou aplicatius per a la Gestió Acadèmica (horaris i calendari classes)</w:t>
                  </w:r>
                </w:p>
                <w:p w:rsidR="00FB4E9A" w:rsidRPr="00DC194D" w:rsidRDefault="00FB4E9A">
                  <w:pPr>
                    <w:rPr>
                      <w:rFonts w:ascii="Arial" w:eastAsia="Times New Roman" w:hAnsi="Arial" w:cs="Arial"/>
                      <w:color w:val="000000"/>
                      <w:sz w:val="9"/>
                      <w:szCs w:val="9"/>
                      <w:lang w:val="ca-ES"/>
                    </w:rPr>
                  </w:pPr>
                </w:p>
              </w:tc>
            </w:tr>
            <w:tr w:rsidR="00FB4E9A">
              <w:trPr>
                <w:divId w:val="18999743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8999743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Alta </w:t>
                  </w:r>
                </w:p>
              </w:tc>
            </w:tr>
            <w:tr w:rsidR="00FB4E9A">
              <w:trPr>
                <w:divId w:val="18999743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8999743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roofErr w:type="gramStart"/>
                  <w:r w:rsidR="00DC194D" w:rsidRPr="003B032E">
                    <w:rPr>
                      <w:rFonts w:ascii="Arial" w:eastAsia="Times New Roman" w:hAnsi="Arial" w:cs="Arial"/>
                      <w:color w:val="000000"/>
                      <w:sz w:val="9"/>
                      <w:szCs w:val="9"/>
                      <w:highlight w:val="yellow"/>
                    </w:rPr>
                    <w:t>( Aquesta</w:t>
                  </w:r>
                  <w:proofErr w:type="gramEnd"/>
                  <w:r w:rsidR="00DC194D" w:rsidRPr="003B032E">
                    <w:rPr>
                      <w:rFonts w:ascii="Arial" w:eastAsia="Times New Roman" w:hAnsi="Arial" w:cs="Arial"/>
                      <w:color w:val="000000"/>
                      <w:sz w:val="9"/>
                      <w:szCs w:val="9"/>
                      <w:highlight w:val="yellow"/>
                    </w:rPr>
                    <w:t xml:space="preserve"> actuació queda en estat de : en curs, perquè s’ha de continuar millorant la gestió i millorar la percepció dels usuaris envers els serveis.</w:t>
                  </w:r>
                </w:p>
              </w:tc>
            </w:tr>
            <w:tr w:rsidR="00FB4E9A">
              <w:trPr>
                <w:divId w:val="18999743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Cada quadrimestre es valora els serveis de suport acadèmic i es reforça els serveis en els període de matrícula. Cal analitzar els motius de la baixa satisfacció i continuar millorant els serveis,</w:t>
                  </w:r>
                </w:p>
                <w:p w:rsidR="00DC194D" w:rsidRDefault="00DC194D">
                  <w:pPr>
                    <w:rPr>
                      <w:rFonts w:ascii="Arial" w:eastAsia="Times New Roman" w:hAnsi="Arial" w:cs="Arial"/>
                      <w:color w:val="000000"/>
                      <w:sz w:val="9"/>
                      <w:szCs w:val="9"/>
                    </w:rPr>
                  </w:pPr>
                </w:p>
                <w:p w:rsidR="00DC194D" w:rsidRPr="00D116D3" w:rsidRDefault="00DC194D" w:rsidP="00DC194D">
                  <w:pPr>
                    <w:pStyle w:val="Prrafodelista"/>
                    <w:numPr>
                      <w:ilvl w:val="0"/>
                      <w:numId w:val="2"/>
                    </w:num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 xml:space="preserve">Els resultats dels indicadors de les enquestes de satisfacció demostren un nivell més alt de satisfacció </w:t>
                  </w:r>
                </w:p>
                <w:p w:rsidR="00DC194D" w:rsidRPr="00D116D3" w:rsidRDefault="00DC194D" w:rsidP="00DC194D">
                  <w:pPr>
                    <w:pStyle w:val="Prrafodelista"/>
                    <w:numPr>
                      <w:ilvl w:val="0"/>
                      <w:numId w:val="2"/>
                    </w:num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Respecte al RRHH:  S’han incorporat a la USD:   una nova Cap de Unitat, reclassificació de una plaça de TS1 A TG2, la incorporació de una nova persona com a Tècnica de Gestió en Relacions Internacionals, i a més una nova TS1 d’atenció als estudiants.</w:t>
                  </w:r>
                </w:p>
                <w:p w:rsidR="00DC194D" w:rsidRPr="00D116D3" w:rsidRDefault="00DC194D" w:rsidP="00DC194D">
                  <w:pPr>
                    <w:pStyle w:val="Prrafodelista"/>
                    <w:numPr>
                      <w:ilvl w:val="0"/>
                      <w:numId w:val="2"/>
                    </w:num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 xml:space="preserve">S’han clarificat les diferents responsabilitats de cada persona, i s’han analitzar les carregues de treball. </w:t>
                  </w:r>
                </w:p>
                <w:p w:rsidR="00DC194D" w:rsidRPr="00D116D3" w:rsidRDefault="00DC194D" w:rsidP="00DC194D">
                  <w:pPr>
                    <w:pStyle w:val="Prrafodelista"/>
                    <w:numPr>
                      <w:ilvl w:val="0"/>
                      <w:numId w:val="2"/>
                    </w:num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S’ha posat en marxa el nou aplicatius DEMANA-UPC, que permet una ràpida resposta a les peticions dels estudiants, així com obtenir dades i indicadors de les peticions més freqüents.</w:t>
                  </w:r>
                </w:p>
                <w:p w:rsidR="00DC194D" w:rsidRPr="00D116D3" w:rsidRDefault="00DC194D" w:rsidP="00DC194D">
                  <w:pPr>
                    <w:pStyle w:val="Prrafodelista"/>
                    <w:numPr>
                      <w:ilvl w:val="0"/>
                      <w:numId w:val="2"/>
                    </w:num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S’ha ampliat l’aplicatiu de l’e-secretaria, arribant a un 90% els processos que es poden realitzar telemàticament.</w:t>
                  </w:r>
                </w:p>
                <w:p w:rsidR="00DC194D" w:rsidRPr="00D116D3" w:rsidRDefault="00DC194D" w:rsidP="00DC194D">
                  <w:pPr>
                    <w:pStyle w:val="Prrafodelista"/>
                    <w:numPr>
                      <w:ilvl w:val="0"/>
                      <w:numId w:val="2"/>
                    </w:numPr>
                    <w:rPr>
                      <w:rFonts w:ascii="Arial" w:eastAsia="Times New Roman" w:hAnsi="Arial" w:cs="Arial"/>
                      <w:color w:val="000000"/>
                      <w:sz w:val="9"/>
                      <w:szCs w:val="9"/>
                      <w:highlight w:val="yellow"/>
                    </w:rPr>
                  </w:pPr>
                  <w:r w:rsidRPr="00D116D3">
                    <w:rPr>
                      <w:rFonts w:ascii="Arial" w:eastAsia="Times New Roman" w:hAnsi="Arial" w:cs="Arial"/>
                      <w:color w:val="000000"/>
                      <w:sz w:val="9"/>
                      <w:szCs w:val="9"/>
                      <w:highlight w:val="yellow"/>
                    </w:rPr>
                    <w:t xml:space="preserve">S’ha posat en marxa un sistema d’atenció personalitzada als estudiants, així com de un procediment de cites concertades per atendre als estudiants que no poden personar-se a fer gestions en les hores d’atenció. </w:t>
                  </w:r>
                </w:p>
                <w:p w:rsidR="00DC194D" w:rsidRPr="00DC194D" w:rsidRDefault="00DC194D">
                  <w:pPr>
                    <w:rPr>
                      <w:rFonts w:ascii="Arial" w:eastAsia="Times New Roman" w:hAnsi="Arial" w:cs="Arial"/>
                      <w:color w:val="000000"/>
                      <w:sz w:val="9"/>
                      <w:szCs w:val="9"/>
                      <w:lang w:val="ca-ES"/>
                    </w:rPr>
                  </w:pP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340.M.201.2015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Valoració dels mecanismes de resposta a incidències i suggeriments</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67804524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Adiministrador</w:t>
                  </w:r>
                </w:p>
              </w:tc>
            </w:tr>
            <w:tr w:rsidR="00FB4E9A">
              <w:trPr>
                <w:divId w:val="67804524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67804524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3: Eficàcia del sistema de garantia interna de la qualitat de la titulació</w:t>
                  </w:r>
                </w:p>
              </w:tc>
            </w:tr>
            <w:tr w:rsidR="00FB4E9A">
              <w:trPr>
                <w:divId w:val="67804524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Atenent a la baixa satisfacció en la percepció de l'estudiant a la resposta a incidències, suggeriments, cal fer una anàlisi de la situació actual i plantejar mecanismes adient de correcció i millora, si s'escau.</w:t>
                  </w:r>
                </w:p>
              </w:tc>
            </w:tr>
            <w:tr w:rsidR="00FB4E9A">
              <w:trPr>
                <w:divId w:val="6780452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6780452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Valorar la percepció de l'estudiant en la resposta a incidències i suggeriments. b. Analitzar els mecanismes actuals de recepció i tractament d'incidències. c. Iniciar la valoració de la creació de procés de seguiment de la resposta a l'estudiantat (començant per una bústia per a rebre incidències, queixes, reclamacions i suggeriments)</w:t>
                  </w:r>
                </w:p>
              </w:tc>
            </w:tr>
            <w:tr w:rsidR="00FB4E9A">
              <w:trPr>
                <w:divId w:val="6780452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6780452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6780452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Alta </w:t>
                  </w:r>
                </w:p>
              </w:tc>
            </w:tr>
            <w:tr w:rsidR="00FB4E9A">
              <w:trPr>
                <w:divId w:val="6780452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6780452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6780452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 disposen de diversos canals d'atenció a l'usuari i de mecanismes d'atenció personalitzada a l'usuari però convé incidir en la percepció negativa d'alguns usuaris i continuar treballant en la millora de l'eficàcia.</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340.M.202.2015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Revisió Equipament i Recursos de suport a la docència</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83726538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Administrador</w:t>
                  </w:r>
                </w:p>
              </w:tc>
            </w:tr>
            <w:tr w:rsidR="00FB4E9A">
              <w:trPr>
                <w:divId w:val="183726538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83726538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3: Eficàcia del sistema de garantia interna de la qualitat de la titulació</w:t>
                  </w:r>
                </w:p>
              </w:tc>
            </w:tr>
            <w:tr w:rsidR="00FB4E9A">
              <w:trPr>
                <w:divId w:val="183726538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Els canvis tecnològics fan que sigui necessari revisar periòdicament l'estat dels equipaments i recursos del Centre, i complementar-los si s'escau amb equipaments en Empreses que poden donar suport al Centre.</w:t>
                  </w:r>
                </w:p>
              </w:tc>
            </w:tr>
            <w:tr w:rsidR="00FB4E9A">
              <w:trPr>
                <w:divId w:val="183726538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83726538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Analitzar les necessitats d'equipament i recursos per a les titulacions del Centre. b. Valorar l'assignació d'equipaments en funció dels recursos disponibles. Aportar criteris per la priorització.</w:t>
                  </w:r>
                </w:p>
              </w:tc>
            </w:tr>
            <w:tr w:rsidR="00FB4E9A">
              <w:trPr>
                <w:divId w:val="183726538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183726538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83726538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83726538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83726538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83726538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En la reactivació del màster MUESAEI s'ha tingut en compte una revisió acurada de l'equipament en laboratoris. En el Grau de Disseny s'està valoran la necessitat d'aula de projectes de disseny. I en l'àmbit industrial la possibilitat de fer pràctiques formatives en empreses, com en el cas de pràctiques de robòtica en l'aula de formació de l'empresa KUKA Robots Ibérica. Cal valorar les necessitats d'equipament a mig termini.</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340.M.205.2015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Revisió satisfaccio amb la titulació</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78916246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w:t>
                  </w:r>
                </w:p>
              </w:tc>
            </w:tr>
            <w:tr w:rsidR="00FB4E9A">
              <w:trPr>
                <w:divId w:val="178916246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78916246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5: Eficàcia dels sistemes de suport a l'aprenentatge</w:t>
                  </w:r>
                </w:p>
              </w:tc>
            </w:tr>
            <w:tr w:rsidR="00FB4E9A">
              <w:trPr>
                <w:divId w:val="178916246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De les enquestes a egressats juliol 2014 no es correspon les expectatives (3) amb el nivell de satisfacció (2,8) de manera que cal valorar com millorar aquesta percepció.</w:t>
                  </w:r>
                </w:p>
              </w:tc>
            </w:tr>
            <w:tr w:rsidR="00FB4E9A">
              <w:trPr>
                <w:divId w:val="17891624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7891624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Analitzar l'estructura actual del pla d'estudis. b. Valorar els informes de responsables d'assignatures i les enquestes dels estudiants en la satisfacció amb les assignatures c. Revisar continguts millorant la coordinació horitzontal i vertical</w:t>
                  </w:r>
                </w:p>
              </w:tc>
            </w:tr>
            <w:tr w:rsidR="00FB4E9A">
              <w:trPr>
                <w:divId w:val="17891624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Reunions de valoració a l'inici i final de cada quadrimestre: - Del grups de tutors del pla d'acció tutorial - De les comissions de titulació</w:t>
                  </w:r>
                </w:p>
              </w:tc>
            </w:tr>
            <w:tr w:rsidR="00FB4E9A">
              <w:trPr>
                <w:divId w:val="17891624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17891624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7891624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7891624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7891624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S'han realitzat dues reunions cada quadrimestre amb el grup de professors tutors del pla d'acció tutorial S'han realitzat dues reunions o més cada quadrimestre de la comissió de titulació S'han realitzat propostes de millora en els sistemes de suport a l'aprenentatge dels estudiants, com ara la realització d'un curs d'anivellament pels estudiants de nou ingrès. Convé continuar en aquesta línia per continuar amb les propostes de millora que es detectin</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340.M.206.2015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Aplicació de metodologia PBL</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55616022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w:t>
                  </w:r>
                </w:p>
              </w:tc>
            </w:tr>
            <w:tr w:rsidR="00FB4E9A">
              <w:trPr>
                <w:divId w:val="55616022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55616022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5: Eficàcia dels sistemes de suport a l'aprenentatge</w:t>
                  </w:r>
                </w:p>
              </w:tc>
            </w:tr>
            <w:tr w:rsidR="00FB4E9A">
              <w:trPr>
                <w:divId w:val="55616022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En la titulació de disseny la competència de treball en equip es ben valorada en l'enquesta d'egressats. Cal afinar en aplicar l'aprenentatge basat en projectes i potenciar una coordinació vertical.</w:t>
                  </w:r>
                </w:p>
              </w:tc>
            </w:tr>
            <w:tr w:rsidR="00FB4E9A">
              <w:trPr>
                <w:divId w:val="5561602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5561602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Aplicar PBL dins la titulació b. Millorar la coordinació vertical i horitzontal per potencial el PBL. c. Aplicació de PBL en quadrimestres Q1, Q2 d. Treballs fi de grau multidisciplinars</w:t>
                  </w:r>
                </w:p>
              </w:tc>
            </w:tr>
            <w:tr w:rsidR="00FB4E9A">
              <w:trPr>
                <w:divId w:val="5561602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5561602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5561602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5561602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5561602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5561602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Dins l'assignatura ACIN ja s'aplica PBL, i en l'assignatura Física II també està previst fer-ho en breu. Cal valorar com mesurar la eficàcia de PBL aplicat dins la titulació.</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340.M.207.2015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Ofertar línia optativitat DCU resta titulacions de grau industrials</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62962561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62962561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62962561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5: Eficàcia dels sistemes de suport a l'aprenentatge</w:t>
                  </w:r>
                </w:p>
              </w:tc>
            </w:tr>
            <w:tr w:rsidR="00FB4E9A">
              <w:trPr>
                <w:divId w:val="62962561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La línia d'optativitat Disseny Centrat en l'Usuari contempla continguts transversals que poden ser complementaris a la formació en altres graus d'àmbit industrial, en concret el lligam entre disseny i informàtica pot esdevenir interessant per potenciar.</w:t>
                  </w:r>
                </w:p>
              </w:tc>
            </w:tr>
            <w:tr w:rsidR="00FB4E9A">
              <w:trPr>
                <w:divId w:val="6296256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6296256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Revisar normativa acadèmica b. Adaptar itinerari DCU a graus d'àmbit industrial c. Revisar els lligams potencials del grau de disseny amb la resta de graus d'àmbit industrial</w:t>
                  </w:r>
                </w:p>
              </w:tc>
            </w:tr>
            <w:tr w:rsidR="00FB4E9A">
              <w:trPr>
                <w:divId w:val="6296256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6296256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6296256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6296256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6296256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iniciada </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340.M.208.2015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Revisió procediment obtenció d'itinerari optatiu.</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2111457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12111457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2111457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5: Eficàcia dels sistemes de suport a l'aprenentatge</w:t>
                  </w:r>
                </w:p>
              </w:tc>
            </w:tr>
            <w:tr w:rsidR="00FB4E9A">
              <w:trPr>
                <w:divId w:val="12111457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 valora treure l’obligatorietat d’haver de cursar un itinerari optatiu, als graus de l’area industrial, per tal de flexibilitzar les actuals restriccions de matricula per la finalització dels estudis. Això permetrà convalidar assignatures optatives OPT1, molt demanat per estudiants provinents del Cicles formatius de grau superior, i també triar altres assignatures optatives de la titulació. Al mateix temps, pel que hagin fet un itinerari optatiu, es proposa acreditar-lo amb un diploma específic.</w:t>
                  </w:r>
                </w:p>
              </w:tc>
            </w:tr>
            <w:tr w:rsidR="00FB4E9A">
              <w:trPr>
                <w:divId w:val="1211145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211145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Revisar procediments dins Comissió Àrea Docent b. Revisar l'accés des de CFGS a la titulació c. Crear diploma específic</w:t>
                  </w:r>
                </w:p>
              </w:tc>
            </w:tr>
            <w:tr w:rsidR="00FB4E9A">
              <w:trPr>
                <w:divId w:val="1211145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1211145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211145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211145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211145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2111457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Dins Comissió d'Àrea Docent i dins Comissió de Coordinació Docent (novembre 2014) s'ha començat a consensuar aquesta proposta.</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340.M.209.2015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Revisió mecanismes d'accés a la titulació</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9051159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9051159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9051159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9051159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S’ha detectat que la convalidació d’assignatures obligatòries provinents de cicles formatius de grau superior pot produir una base insuficient de coneixements en alguns estudiants. En un cert col·lectiu d’estudiant s'ha detectat un insuficient nivell en la formació prèvia als estudis universitàries en les matèries de matemàtiques i física. </w:t>
                  </w:r>
                </w:p>
              </w:tc>
            </w:tr>
            <w:tr w:rsidR="00FB4E9A">
              <w:trPr>
                <w:divId w:val="9051159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9051159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 Analitzar quadre de convalidació acordats per la Xarxa 6 de la UPC b. Valorar la possibilitat de reduir la convalidació </w:t>
                  </w:r>
                  <w:r>
                    <w:rPr>
                      <w:rFonts w:ascii="Arial" w:eastAsia="Times New Roman" w:hAnsi="Arial" w:cs="Arial"/>
                      <w:color w:val="000000"/>
                      <w:sz w:val="9"/>
                      <w:szCs w:val="9"/>
                    </w:rPr>
                    <w:lastRenderedPageBreak/>
                    <w:t xml:space="preserve">d'assignatures o crèdits obligatoris Millorar la formació dels estudiants de nou ingrès en les matèries de matemàtiques infísica </w:t>
                  </w:r>
                </w:p>
              </w:tc>
            </w:tr>
            <w:tr w:rsidR="00FB4E9A">
              <w:trPr>
                <w:divId w:val="9051159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Es proposa revisar els quadres de convalidacions amb els CFGS quan es faci una reunió de coordinació entre els centres amb que compartirm titulaciions, de la Xarxa 6 de la UPC Realitzar un curs d’anivellament amb el suport dels professors del departament de matemàtiques i física, per tal de que abans d’iniciar el curs acadèmic els estudiants de nou ingrés que ho requereixen puguin corregir les carències formatives prèvies amb la finalitat de millorar el seu progrés acadèmic als estudis </w:t>
                  </w:r>
                </w:p>
              </w:tc>
            </w:tr>
            <w:tr w:rsidR="00FB4E9A">
              <w:trPr>
                <w:divId w:val="9051159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9051159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9051159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9051159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9051159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Encara no s'ha convocat cap reunió de la Xarxa 6 per tractar la revisió dels quadres de convalidacions amb els CFGS. S'ha realitzat un cus d'anivellament amb estudiants de nou ingrès, per les materies de matemàtiques i física, durant l'any 2016/17 i el 2017/18.</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340.M.210.2015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Millora de recursos</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97656913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Administrador</w:t>
                  </w:r>
                </w:p>
              </w:tc>
            </w:tr>
            <w:tr w:rsidR="00FB4E9A">
              <w:trPr>
                <w:divId w:val="197656913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97656913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97656913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 detecta la necessitat de revisar el programari que es fa servir en activitats pràctiques en diverses assignatures.</w:t>
                  </w:r>
                </w:p>
              </w:tc>
            </w:tr>
            <w:tr w:rsidR="00FB4E9A">
              <w:trPr>
                <w:divId w:val="19765691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9765691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Revisar les necessitats en programari d'assignatures de la titulació b. Valorar la necessitat de disposar de llicències del programari CYPE per a diverses assignatures</w:t>
                  </w:r>
                </w:p>
              </w:tc>
            </w:tr>
            <w:tr w:rsidR="00FB4E9A">
              <w:trPr>
                <w:divId w:val="19765691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19765691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19765691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9765691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9765691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9765691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Un cop detectada la necessitat cal valorar els recursos del centre en millores equipament i veure si la proposta es valida.</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340.M.211.2015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Millora de la coordinació vertical</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200238817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200238817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200238817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200238817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 detecta assignatures que mostren coneixements previs i per tant es suggereixen recomanacions de matrícula. Per aconseguir aquest objectiu cal millorar l'assignació d'assignatures entre quadrimestres consecutius.</w:t>
                  </w:r>
                </w:p>
              </w:tc>
            </w:tr>
            <w:tr w:rsidR="00FB4E9A">
              <w:trPr>
                <w:divId w:val="20023881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20023881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Analitzar la reubicació d'assignatures b. Comprovar els continguts i lligams entre matèries. c. Consensuar amb la proposta genèrica dels graus d'àmbit industrial</w:t>
                  </w:r>
                </w:p>
              </w:tc>
            </w:tr>
            <w:tr w:rsidR="00FB4E9A">
              <w:trPr>
                <w:divId w:val="20023881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20023881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20023881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Mitja </w:t>
                  </w:r>
                </w:p>
              </w:tc>
            </w:tr>
            <w:tr w:rsidR="00FB4E9A">
              <w:trPr>
                <w:divId w:val="20023881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20023881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20023881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La proposta està essent valorada per a que convergeixi amb la proposta genèrica de la Comissió de Coordinació Docent. Es veu la necessitat del lligam entre assignatures de la matèria automàtica i assignatures de la matèria electrònica.</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340.M.212.2015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Millora coordinació matèries electriciat i electrònica</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20463286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w:t>
                  </w:r>
                </w:p>
              </w:tc>
            </w:tr>
            <w:tr w:rsidR="00FB4E9A">
              <w:trPr>
                <w:divId w:val="20463286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20463286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20463286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Caldria revisar l’assignatura ELPO per a potenciar la coordinació vertical amb les assignatures amb contingut en Electricitat que apareixen en quadrimestres posteriors. Entenent que ELPO és una assignatura de fase comuna, cal establir lligams sòlids entre electrònica i Electricitat, i els lligams s’han d’establir ben fonamentats en el temari de ELPO.</w:t>
                  </w:r>
                </w:p>
              </w:tc>
            </w:tr>
            <w:tr w:rsidR="00FB4E9A">
              <w:trPr>
                <w:divId w:val="20463286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20463286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Facilitar converses entre responsables d'assignatures b. Revisar i ajustar continguts c. Consensuar propostes de milllora</w:t>
                  </w:r>
                </w:p>
              </w:tc>
            </w:tr>
            <w:tr w:rsidR="00FB4E9A">
              <w:trPr>
                <w:divId w:val="20463286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20463286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20463286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20463286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20463286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iniciada </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340.M.213.2015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Pràctiques formatives en robòtica</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561867265"/>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w:t>
                  </w:r>
                </w:p>
              </w:tc>
            </w:tr>
            <w:tr w:rsidR="00FB4E9A">
              <w:trPr>
                <w:divId w:val="1561867265"/>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561867265"/>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561867265"/>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Davant la bona acollida de pràctiques de robòtica en aula de formació de l'empresa KUKA Robots Ibèrica.</w:t>
                  </w:r>
                </w:p>
              </w:tc>
            </w:tr>
            <w:tr w:rsidR="00FB4E9A">
              <w:trPr>
                <w:divId w:val="156186726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56186726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Revisar la colaboració amb l'empresa b. Revisar els continguts en robòtica industrail c. Aplicar a diverses assignatures</w:t>
                  </w:r>
                </w:p>
              </w:tc>
            </w:tr>
            <w:tr w:rsidR="00FB4E9A">
              <w:trPr>
                <w:divId w:val="156186726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156186726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156186726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56186726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56186726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56186726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Aquesta activitat ja s'ha aplicat per l'assignatura Sistemes Robotitzats. Ara es vol valorar fer-ho per Sistemes de Produccó Integrats.</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340.M.214.2015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Millorar promoció i visibilitat de la titulació</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54961700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w:t>
                  </w:r>
                </w:p>
              </w:tc>
            </w:tr>
            <w:tr w:rsidR="00FB4E9A">
              <w:trPr>
                <w:divId w:val="54961700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54961700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2: Pertinència de la informació pública</w:t>
                  </w:r>
                </w:p>
              </w:tc>
            </w:tr>
            <w:tr w:rsidR="00FB4E9A">
              <w:trPr>
                <w:divId w:val="54961700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En base als estudiants assignats en primera preferència es valora la possibilitat de millorar la promoció i visibilitat de la titulació</w:t>
                  </w:r>
                </w:p>
              </w:tc>
            </w:tr>
            <w:tr w:rsidR="00FB4E9A">
              <w:trPr>
                <w:divId w:val="54961700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54961700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Potenciar projectes entre Universitat i Empresa. b. Potenciar el lligam entre els graus de disseny i informàtica c. Valorar la possibilitat de disposar d'exercicis i treballs acadèmics avançats dipositats en repositoris d'abast de tots els grups d'interès d. Potenciar notícies i events sobre les titulacions en el web del centre.</w:t>
                  </w:r>
                </w:p>
              </w:tc>
            </w:tr>
            <w:tr w:rsidR="00FB4E9A">
              <w:trPr>
                <w:divId w:val="54961700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Augmentar en nombre de convenis universitat-empresa Fomar equips de treball multicisciplinars en sobre treballs final de grau, i sobre projectes vinculats a empreses Renovar i actualitzar la informació publicada sobre les titulacions al web del centre. </w:t>
                  </w:r>
                </w:p>
              </w:tc>
            </w:tr>
            <w:tr w:rsidR="00FB4E9A">
              <w:trPr>
                <w:divId w:val="54961700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54961700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54961700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54961700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54961700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S'ha aconseguit un important augment en el nombre de convenis universitat-empresa a totes les ttulacions S'han desenvolupat diversos treball finals de grau amb projectes multidisciplinars S'ha proposat un projecte de reforma i millora en la estructura i la informació del web del centre, pensant tambien en la promoció de les titulacions </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340.M.215.2015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Revisió Pla d'Infraestructures</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51900889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Administrador</w:t>
                  </w:r>
                </w:p>
              </w:tc>
            </w:tr>
            <w:tr w:rsidR="00FB4E9A">
              <w:trPr>
                <w:divId w:val="51900889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51900889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2: Pertinència de la informació pública</w:t>
                  </w:r>
                </w:p>
              </w:tc>
            </w:tr>
            <w:tr w:rsidR="00FB4E9A">
              <w:trPr>
                <w:divId w:val="51900889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Aquesta titulació necessita constanment una actualització en equipament i programari davant el continu canvi TIC que es produeix en la societat.</w:t>
                  </w:r>
                </w:p>
              </w:tc>
            </w:tr>
            <w:tr w:rsidR="00FB4E9A">
              <w:trPr>
                <w:divId w:val="5190088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5190088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Valorar la millora de PCs en les aules, servidors i xarxes b. Optimitzar el nombre d'aules informàtiques en funció del nombre d'estudiants c. Valorar</w:t>
                  </w:r>
                  <w:proofErr w:type="gramStart"/>
                  <w:r>
                    <w:rPr>
                      <w:rFonts w:ascii="Arial" w:eastAsia="Times New Roman" w:hAnsi="Arial" w:cs="Arial"/>
                      <w:color w:val="000000"/>
                      <w:sz w:val="9"/>
                      <w:szCs w:val="9"/>
                    </w:rPr>
                    <w:t>,la</w:t>
                  </w:r>
                  <w:proofErr w:type="gramEnd"/>
                  <w:r>
                    <w:rPr>
                      <w:rFonts w:ascii="Arial" w:eastAsia="Times New Roman" w:hAnsi="Arial" w:cs="Arial"/>
                      <w:color w:val="000000"/>
                      <w:sz w:val="9"/>
                      <w:szCs w:val="9"/>
                    </w:rPr>
                    <w:t xml:space="preserve"> possibilitat de disposar de personal d'informàtica de suport dins horari lectiu docent.</w:t>
                  </w:r>
                </w:p>
              </w:tc>
            </w:tr>
            <w:tr w:rsidR="00FB4E9A">
              <w:trPr>
                <w:divId w:val="5190088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5190088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5190088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5190088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51900889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iniciada </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340.M.216.2015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Millora encàrrec acadèmic</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27016175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127016175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27016175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27016175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S'observa que l'actual encàrrec acadèmic per al PDI assignat a les titulacions pots millora-se per cobrir el 100% de presencialitat de les asignatures optatives. Actualment és de 3h. </w:t>
                  </w:r>
                  <w:proofErr w:type="gramStart"/>
                  <w:r>
                    <w:rPr>
                      <w:rFonts w:ascii="Arial" w:eastAsia="Times New Roman" w:hAnsi="Arial" w:cs="Arial"/>
                      <w:color w:val="000000"/>
                      <w:sz w:val="9"/>
                      <w:szCs w:val="9"/>
                    </w:rPr>
                    <w:t>presencials</w:t>
                  </w:r>
                  <w:proofErr w:type="gramEnd"/>
                  <w:r>
                    <w:rPr>
                      <w:rFonts w:ascii="Arial" w:eastAsia="Times New Roman" w:hAnsi="Arial" w:cs="Arial"/>
                      <w:color w:val="000000"/>
                      <w:sz w:val="9"/>
                      <w:szCs w:val="9"/>
                    </w:rPr>
                    <w:t xml:space="preserve"> per 6 crèdits enlloc de 4h. Presencials.</w:t>
                  </w:r>
                </w:p>
              </w:tc>
            </w:tr>
            <w:tr w:rsidR="00FB4E9A">
              <w:trPr>
                <w:divId w:val="127016175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27016175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Analitzar l'encàrrec acadèmic b. Valorar la viabilitat de modificacions en l'encàrrec</w:t>
                  </w:r>
                </w:p>
              </w:tc>
            </w:tr>
            <w:tr w:rsidR="00FB4E9A">
              <w:trPr>
                <w:divId w:val="127016175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l'encàrrec docent de les assignatures optatives, tornar a les 4 hores/setmana dins els punts assignats a l'encàrrec docent del centre.</w:t>
                  </w:r>
                </w:p>
              </w:tc>
            </w:tr>
            <w:tr w:rsidR="00FB4E9A">
              <w:trPr>
                <w:divId w:val="127016175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27016175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mitja </w:t>
                  </w:r>
                </w:p>
              </w:tc>
            </w:tr>
            <w:tr w:rsidR="00FB4E9A">
              <w:trPr>
                <w:divId w:val="127016175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1/1/2017</w:t>
                  </w:r>
                </w:p>
              </w:tc>
            </w:tr>
            <w:tr w:rsidR="00FB4E9A">
              <w:trPr>
                <w:divId w:val="127016175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Finalitzada </w:t>
                  </w:r>
                </w:p>
              </w:tc>
            </w:tr>
            <w:tr w:rsidR="00FB4E9A">
              <w:trPr>
                <w:divId w:val="127016175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l'encàrrec docent s'ha prioritzat tornar al 100% de presencialitat de les assignatures optatives</w:t>
                  </w:r>
                </w:p>
              </w:tc>
            </w:tr>
            <w:tr w:rsidR="00FB4E9A">
              <w:trPr>
                <w:divId w:val="127016175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Resultats obtinguts: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Encàrrec docent ja realitzat de totes les assignatures optatives amb un 100% de presencialitat, 4 hores/semana x 15 setmanes </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340.M.217.2015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Ampliació optativitat</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35857668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Coordinadora</w:t>
                  </w:r>
                </w:p>
              </w:tc>
            </w:tr>
            <w:tr w:rsidR="00FB4E9A">
              <w:trPr>
                <w:divId w:val="135857668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35857668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35857668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Es detecta necessitat de potenciar lligams entre mecànica i electrònica. En concret: proposta d’ampliar la optativitat amb una línia de tecnologia electrònica en els graus de mecànica i disseny. Això permetrà als estudiants accedir amb més facilitat al màster que s’imparteix al Centre i també distribuir millor els estudiants en les assignatures optatives que es troben massificades en aquestes dues titulacions. </w:t>
                  </w:r>
                </w:p>
              </w:tc>
            </w:tr>
            <w:tr w:rsidR="00FB4E9A">
              <w:trPr>
                <w:divId w:val="135857668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35857668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Analitzar la situació actual (coordinadors de mecànica i electrònica) b. Valorar el lligam entre titulació de Grau i Màster MUESAEI c. Aportar proposta d'optativitat</w:t>
                  </w:r>
                </w:p>
              </w:tc>
            </w:tr>
            <w:tr w:rsidR="00FB4E9A">
              <w:trPr>
                <w:divId w:val="135857668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135857668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135857668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35857668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1/1/2017</w:t>
                  </w:r>
                </w:p>
              </w:tc>
            </w:tr>
            <w:tr w:rsidR="00FB4E9A">
              <w:trPr>
                <w:divId w:val="135857668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35857668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S'ha fet un estudi previ on s'està valorarnt la viabilitat de'aquesta proposta.</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340.M.218.2015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Seguiment coordinació horitzontal d'assignatures</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92815212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Coordinadora</w:t>
                  </w:r>
                </w:p>
              </w:tc>
            </w:tr>
            <w:tr w:rsidR="00FB4E9A">
              <w:trPr>
                <w:divId w:val="192815212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92815212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92815212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L'any 2013 es va proposar millorar la distribució d’assignatures i la seva coordinació horitzontal dins la titulació. Redistribució temporal en el pla d`estudis de les assignatures RMA2 (Resistència de Materials 2) i DIMA (Disseny de Màquines), al necessitar l`assignatura de DIMA coneixements previs de RMA2.</w:t>
                  </w:r>
                </w:p>
              </w:tc>
            </w:tr>
            <w:tr w:rsidR="00FB4E9A">
              <w:trPr>
                <w:divId w:val="192815212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92815212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Valorar el seguiment de la coordinació horitzontal entre assignatures b. Valorar l'eficàcia.</w:t>
                  </w:r>
                </w:p>
              </w:tc>
            </w:tr>
            <w:tr w:rsidR="00FB4E9A">
              <w:trPr>
                <w:divId w:val="192815212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Reubicar temporalment les assignatures RMA2 i DIMA d'acord amb la seva relació amb la resta d'assignatures de la titulació</w:t>
                  </w:r>
                </w:p>
              </w:tc>
            </w:tr>
            <w:tr w:rsidR="00FB4E9A">
              <w:trPr>
                <w:divId w:val="192815212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192815212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92815212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92815212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Finalitzada </w:t>
                  </w:r>
                </w:p>
              </w:tc>
            </w:tr>
            <w:tr w:rsidR="00FB4E9A">
              <w:trPr>
                <w:divId w:val="192815212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S'ha realitzat el canvi en la distribució temporal de les assignatures</w:t>
                  </w:r>
                </w:p>
              </w:tc>
            </w:tr>
            <w:tr w:rsidR="00FB4E9A">
              <w:trPr>
                <w:divId w:val="192815212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Resultats obtinguts: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La coordinació entre les assignatures ha millorat molt, amb una molt millor seqüenciació temporal de les assignatures a la titulació </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340.M.219.2015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Millora de programari</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07474188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107474188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07474188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07474188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Conjuntament entre titulació de Mecànica i la titulació de Disseny, cal valorar quins programaris s'ajusten al nivell de competències que es vol assolir.</w:t>
                  </w:r>
                </w:p>
              </w:tc>
            </w:tr>
            <w:tr w:rsidR="00FB4E9A">
              <w:trPr>
                <w:divId w:val="10747418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0747418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Revisar programaris 3D especialitzats b- Analitzar la connexió entre Universitat i Empreses que fan servir aquest programaris c. Valorar l'adquisició de llicències per a diverses assigantures</w:t>
                  </w:r>
                </w:p>
              </w:tc>
            </w:tr>
            <w:tr w:rsidR="00FB4E9A">
              <w:trPr>
                <w:divId w:val="10747418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Fer reunions de valoració amb els professors responsables de les assignatures que fan servir els programaris de disseny gràfic</w:t>
                  </w:r>
                </w:p>
              </w:tc>
            </w:tr>
            <w:tr w:rsidR="00FB4E9A">
              <w:trPr>
                <w:divId w:val="10747418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0747418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0747418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0747418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Finalitzada </w:t>
                  </w:r>
                </w:p>
              </w:tc>
            </w:tr>
            <w:tr w:rsidR="00FB4E9A">
              <w:trPr>
                <w:divId w:val="10747418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S'han valorat diversos programaris, avantatges i inconvenients i s'ha consensuat com fer-los servir a les assignatures. S'han destinat els recursos econòmics disponibles del Centre per a l'adquisició de llicències.</w:t>
                  </w:r>
                </w:p>
              </w:tc>
            </w:tr>
            <w:tr w:rsidR="00FB4E9A">
              <w:trPr>
                <w:divId w:val="107474188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Resultats obtinguts: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340.M.220.2015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Millora coordinació horitzontal</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65494510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 Màster MUESAEI</w:t>
                  </w:r>
                </w:p>
              </w:tc>
            </w:tr>
            <w:tr w:rsidR="00FB4E9A">
              <w:trPr>
                <w:divId w:val="165494510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65494510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65494510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La sinergia entre electrònica i automàtica en aquest màster s'ha de millorar per tal d'assolir els coneixements teòrics i pràctics que es demanen en el MECES per a una titulació de nivell 3.</w:t>
                  </w:r>
                </w:p>
              </w:tc>
            </w:tr>
            <w:tr w:rsidR="00FB4E9A">
              <w:trPr>
                <w:divId w:val="165494510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65494510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Analitzar la coordinació actual horitzontal i vertical. b. Valorar les modificacions de continguts c. Valorar la simultaneïtat de cursar assignatures</w:t>
                  </w:r>
                </w:p>
              </w:tc>
            </w:tr>
            <w:tr w:rsidR="00FB4E9A">
              <w:trPr>
                <w:divId w:val="165494510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165494510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165494510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65494510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65494510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65494510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Aquesta millora ja s'està fent facilitant que es puguin cursar simultàniament les assignatures SEAI i MCME, SEAI – Sistemes Electrònics Avançats i Integració de Fonts i MCME Modelat i Control de Maquines Elèctriques.</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340.M.221.2015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Seguiment actualització guies docents</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27200738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 Màster MUESAEI</w:t>
                  </w:r>
                </w:p>
              </w:tc>
            </w:tr>
            <w:tr w:rsidR="00FB4E9A">
              <w:trPr>
                <w:divId w:val="127200738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27200738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27200738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Davant les modificacions no substancials però si importants en horaris, coordinació horitzontal, cal revisar de nou si el contingut de les guies docents és correcte, i si escau, procedir a modificar-ho</w:t>
                  </w:r>
                </w:p>
              </w:tc>
            </w:tr>
            <w:tr w:rsidR="00FB4E9A">
              <w:trPr>
                <w:divId w:val="12720073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2720073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Valorar l'estat actual de les guies docents b- Valorar la necessitat de revisió dels sistemes avaluatius dins guies docents d'algunes assignatures</w:t>
                  </w:r>
                </w:p>
              </w:tc>
            </w:tr>
            <w:tr w:rsidR="00FB4E9A">
              <w:trPr>
                <w:divId w:val="12720073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Revisar la orientació de les assignatures del master cap a l'exercici professional i la Industria 4.0 </w:t>
                  </w:r>
                </w:p>
              </w:tc>
            </w:tr>
            <w:tr w:rsidR="00FB4E9A">
              <w:trPr>
                <w:divId w:val="12720073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12720073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2720073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2720073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2720073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En Comissió d'Àrea Docent de forma periòdica ja es comenten els problemes i les vies de solució. Respecte guies docents, cal treballar millor en les assignatures Sensors i Mems, Intel·ligència Ambiental per tal de definir sense confusió la forma concreta d'avaluació que es fa servir i com mesurar l'eficàcia de l'aprenentatge basat en projectes. Respecte a la orientacio a la industria, s'ha previst la creació d'una nova assignatura optativa sobre Automatització Industrial, a iniciar-se l'any 2017/18.</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340.M.222.2015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Formació en robòtica</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78160684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 Màster MUESAEI</w:t>
                  </w:r>
                </w:p>
              </w:tc>
            </w:tr>
            <w:tr w:rsidR="00FB4E9A">
              <w:trPr>
                <w:divId w:val="178160684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78160684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78160684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Les activitats pràctiques en robòtica industrial es duen a terme dins aula formativa de KUKA Robots Ibèrica per a l'assignatura Robòtica i Visió. Convé consolidar aquesta colaboració.</w:t>
                  </w:r>
                </w:p>
              </w:tc>
            </w:tr>
            <w:tr w:rsidR="00FB4E9A">
              <w:trPr>
                <w:divId w:val="17816068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7816068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Valorar l'eficàcia de la colaboració Universitat-Empresa b. Valorar la possiblitat d'estendre el model a altres assignatures c. Valorar la possibilitat de potenciar la col·laboració a nivell de doctorat industrial</w:t>
                  </w:r>
                </w:p>
              </w:tc>
            </w:tr>
            <w:tr w:rsidR="00FB4E9A">
              <w:trPr>
                <w:divId w:val="17816068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17816068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17816068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7816068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7816068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7816068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 vol consolidar la proposta actual per tal de que el lligam entre Universitat Empresa sigui ferm i aporti valor afegit a la titulació de màster.</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340.M.278.2015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Impacte de l'experiència investigadora/professional</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27336432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27336432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27336432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4: Adequació del professorat al programa formatiu</w:t>
                  </w:r>
                </w:p>
              </w:tc>
            </w:tr>
            <w:tr w:rsidR="00FB4E9A">
              <w:trPr>
                <w:divId w:val="27336432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L'Estàndard4 de l'autoinforme pregunta si el professorat té suficient i valorada experiència docent, investigadora i, si escau, professional. Atenent al màster cal plantejar-se com mesurar l'impacte de l'experiència investigdora/professional en la millora de la docència.</w:t>
                  </w:r>
                </w:p>
              </w:tc>
            </w:tr>
            <w:tr w:rsidR="00FB4E9A">
              <w:trPr>
                <w:divId w:val="2733643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2733643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Valorar l'impacte amb la mesura de la percepció de l'estudiantat dins una pregunta en l'enquesta de satisfacció als egressats del màster MUESAEI, amb coordinació amb el GPAQ. Valorar aquest impacte dins FOCUC GROUP amb estudiants del MIESAEI.</w:t>
                  </w:r>
                </w:p>
              </w:tc>
            </w:tr>
            <w:tr w:rsidR="00FB4E9A">
              <w:trPr>
                <w:divId w:val="2733643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Realització de la enquesta als titulats Realització del Focus grup amb els estudiants</w:t>
                  </w:r>
                </w:p>
              </w:tc>
            </w:tr>
            <w:tr w:rsidR="00FB4E9A">
              <w:trPr>
                <w:divId w:val="2733643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2733643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2733643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2733643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27336432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S'han realitzat dos edicions del Focus Grup amb els estudiants del màster MUESAEI, recollint la seva opinió. S'ha contrastat amb els professors les conclussions de cada edició del Focus Grup </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340.M.280.2015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Rendiment del Pla d'Acció Tutorial a partir del 2014/15</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31892231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131892231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31892231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5: Eficàcia dels sistemes de suport a l'aprenentatge</w:t>
                  </w:r>
                </w:p>
              </w:tc>
            </w:tr>
            <w:tr w:rsidR="00FB4E9A">
              <w:trPr>
                <w:divId w:val="131892231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L'acció tutorial es desplega des del curs 2012/2013. Durant els anys 2014/15 s'elabora formalment un calendari, un grup de tutors, un document de procediment, mab l'assignmació d'un turos per cada grupo-classe d'estudiants. Durant els anys 2015/16 i 2016/17 es desenvolupa en funcionament d'aquest Pla d'Acció Tutorial. S'ha detectat la falta de coneixement per part de l'estudiantat sobre les funcions del tutor i objectius del pla d'acció tutorial. S'ha detectat la inexistencia de canals especifics de comunicacio entre tuturs i estudianmts tutoritzats. Es troba a faltar que el tutor pugui fer un seguiment de l'estudiant durant mol més temps, per poder fer un millor seguiment de la seva evolució.</w:t>
                  </w:r>
                </w:p>
              </w:tc>
            </w:tr>
            <w:tr w:rsidR="00FB4E9A">
              <w:trPr>
                <w:divId w:val="131892231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31892231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Evaluar la eficàcia del Pla d'Acció Tutorial (PAT) Millorar el coneixement del PAT entre els estudiants Millorar els canals de comunicacio entre Tutors i estudiants tutoritzats</w:t>
                  </w:r>
                </w:p>
              </w:tc>
            </w:tr>
            <w:tr w:rsidR="00FB4E9A">
              <w:trPr>
                <w:divId w:val="131892231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Analitzar les accions realitzades pels tutors en la tutorització dels estudiants, a les reunions quadrimestrals, Donar a coneixer els objectius i desplegament del pla d'accio tutorial als estudiants en cada grup-classe. Crear un espai a Atenea per la comunicació entre tutors i estudiants </w:t>
                  </w:r>
                </w:p>
              </w:tc>
            </w:tr>
            <w:tr w:rsidR="00FB4E9A">
              <w:trPr>
                <w:divId w:val="131892231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31892231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131892231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131892231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31892231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Analisi realitzat a les reunions de Tutors de final de acada quadrimestre. Informació sobre el Pla D'Acció Tutorial presentada a tots els grups-classe per part del tutor S'ha n realitzar diferents propostes de millora per aplicar l'any següent: - S'ha proposat el canviar del model de tutorització orientat al gup-classe, per una tutorització per personalitzada en l'estudiant, amb un tutor per la primera etapa (fins 120 crèdits superats en els graus) i un altre tutor per la etapa final, fins fianlitzar els estudis (i només un tutor al llarg dels estudis del master). - S'ha proposat la creació d'un curs a Atenea per faclitar la comunicació entre Tutor i estudiants.</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340.M.294.2015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Canvis en el Grau d'Enginyeria Informàtica</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49051363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Cap d'Estudis</w:t>
                  </w:r>
                </w:p>
              </w:tc>
            </w:tr>
            <w:tr w:rsidR="00FB4E9A">
              <w:trPr>
                <w:divId w:val="149051363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49051363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49051363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Actualment la competència genèrica en Accessibilitat no s'assoleix pels graduats ja que no hi ha cap assignatura obligatòria de la carrera que tingui aquesta competència com a pròpia. I caldria aprofundir en la competència relacionada la capacitat de concebre sistemes, aplicacions i serveis basats en tecnologies de xarxa, computació mòbil inclosa. Per altra banda, d'acord amb l'informe d'acreditació, cal homogeneitzar l'estructura del pla d'estudis del Grau d'Enginyeria Informàtica amb la Facultat de Informàtica, el que implica que el TFG ha de passar de 24 a 18 crèdits, amb els mateixos resultats i competencies, i que els estudiants han de pasar de cursar 36 a 42 crèdits optatius. a més, l'assignatura obligatòria de centre a la FIB és optativa a l'EPSEVG i per tant s'ha de solventar tamb´´e aquest punt,</w:t>
                  </w:r>
                </w:p>
              </w:tc>
            </w:tr>
            <w:tr w:rsidR="00FB4E9A">
              <w:trPr>
                <w:divId w:val="14905136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Sí </w:t>
                  </w:r>
                </w:p>
              </w:tc>
            </w:tr>
            <w:tr w:rsidR="00FB4E9A">
              <w:trPr>
                <w:divId w:val="14905136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valorar la situació actual del pla d'estudis b. valorar la possibilitat de posar com obligatòries les assignatures INDI i DABD c. valorar la possibilitat de posar com optatives les assignatures EESO i GEET. d. canviar el nombre de crèdits del TFG de 24 a 18 ECTS. d: revisar i millorar la oferta de assignatures a les linies d'optativitat</w:t>
                  </w:r>
                </w:p>
              </w:tc>
            </w:tr>
            <w:tr w:rsidR="00FB4E9A">
              <w:trPr>
                <w:divId w:val="14905136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Presentar una proposta detallada sobre aquest canvi en la comissió de </w:t>
                  </w:r>
                  <w:proofErr w:type="gramStart"/>
                  <w:r>
                    <w:rPr>
                      <w:rFonts w:ascii="Arial" w:eastAsia="Times New Roman" w:hAnsi="Arial" w:cs="Arial"/>
                      <w:color w:val="000000"/>
                      <w:sz w:val="9"/>
                      <w:szCs w:val="9"/>
                    </w:rPr>
                    <w:t>titulació .</w:t>
                  </w:r>
                  <w:proofErr w:type="gramEnd"/>
                  <w:r>
                    <w:rPr>
                      <w:rFonts w:ascii="Arial" w:eastAsia="Times New Roman" w:hAnsi="Arial" w:cs="Arial"/>
                      <w:color w:val="000000"/>
                      <w:sz w:val="9"/>
                      <w:szCs w:val="9"/>
                    </w:rPr>
                    <w:t xml:space="preserve"> Aprovar la proposta de canvi en Junta d'escola a l'inici de l'any 2017/18</w:t>
                  </w:r>
                </w:p>
              </w:tc>
            </w:tr>
            <w:tr w:rsidR="00FB4E9A">
              <w:trPr>
                <w:divId w:val="14905136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4905136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alta </w:t>
                  </w:r>
                </w:p>
              </w:tc>
            </w:tr>
            <w:tr w:rsidR="00FB4E9A">
              <w:trPr>
                <w:divId w:val="14905136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1/1/2016</w:t>
                  </w:r>
                </w:p>
              </w:tc>
            </w:tr>
            <w:tr w:rsidR="00FB4E9A">
              <w:trPr>
                <w:divId w:val="14905136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49051363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S'ha presentat la proposta detallada de canvi, per tots els objetius definits, a la Comissió de Titulació del Grau en Enginyeria Informática. Esta previst revisar la proposta i portar a la seva aprovació en la Junta del Centre a l'inici de l'any acadèmic 2017/18</w:t>
                  </w:r>
                  <w:proofErr w:type="gramStart"/>
                  <w:r>
                    <w:rPr>
                      <w:rFonts w:ascii="Arial" w:eastAsia="Times New Roman" w:hAnsi="Arial" w:cs="Arial"/>
                      <w:color w:val="000000"/>
                      <w:sz w:val="9"/>
                      <w:szCs w:val="9"/>
                    </w:rPr>
                    <w:t>..</w:t>
                  </w:r>
                  <w:proofErr w:type="gramEnd"/>
                  <w:r>
                    <w:rPr>
                      <w:rFonts w:ascii="Arial" w:eastAsia="Times New Roman" w:hAnsi="Arial" w:cs="Arial"/>
                      <w:color w:val="000000"/>
                      <w:sz w:val="9"/>
                      <w:szCs w:val="9"/>
                    </w:rPr>
                    <w:t xml:space="preserve"> </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lastRenderedPageBreak/>
              <w:t>340.M.362.2015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Actualització processos del SGIQ</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47293723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 Director Qualitat</w:t>
                  </w:r>
                </w:p>
              </w:tc>
            </w:tr>
            <w:tr w:rsidR="00FB4E9A">
              <w:trPr>
                <w:divId w:val="147293723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47293723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47293723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partir de l'informe d'avaluació externa fet pel CAE es posa en evidencia la necessitat d'una actualització dels procesos atenent al nou model VSMA i a que el SGIQ de EPSEVG data de 2011</w:t>
                  </w:r>
                </w:p>
              </w:tc>
            </w:tr>
            <w:tr w:rsidR="00FB4E9A">
              <w:trPr>
                <w:divId w:val="14729372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4729372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millorar el SGIQ del centre - actualitzar la documentació de procesos - agilitzar el pas a eina TOTQ</w:t>
                  </w:r>
                </w:p>
              </w:tc>
            </w:tr>
            <w:tr w:rsidR="00FB4E9A">
              <w:trPr>
                <w:divId w:val="14729372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14729372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4729372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Mitja </w:t>
                  </w:r>
                </w:p>
              </w:tc>
            </w:tr>
            <w:tr w:rsidR="00FB4E9A">
              <w:trPr>
                <w:divId w:val="14729372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1/1/2016</w:t>
                  </w:r>
                </w:p>
              </w:tc>
            </w:tr>
            <w:tr w:rsidR="00FB4E9A">
              <w:trPr>
                <w:divId w:val="14729372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4729372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Bona part dels objectius i desplegament dels procesos del SGIQ están revisats, però convé reescriure tota la documentació que data del 2011</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340.M.363.2015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Millora recursos docents</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18611620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Sotsdirector Infraestructures</w:t>
                  </w:r>
                </w:p>
              </w:tc>
            </w:tr>
            <w:tr w:rsidR="00FB4E9A">
              <w:trPr>
                <w:divId w:val="18611620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18611620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1: Qualitat del programa formatiu</w:t>
                  </w:r>
                </w:p>
              </w:tc>
            </w:tr>
            <w:tr w:rsidR="00FB4E9A">
              <w:trPr>
                <w:divId w:val="186116208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A partir de l'informe d'avaluació externa fet pel CAE es posa en evidencia que cal potenciar el nombre de recursos existents dels graus GEM i GEDIDP. </w:t>
                  </w:r>
                </w:p>
              </w:tc>
            </w:tr>
            <w:tr w:rsidR="00FB4E9A">
              <w:trPr>
                <w:divId w:val="18611620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18611620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anàlisi de la situación actual - creació de laboratori nou de prototipatge i maquetació - revisió del programari 3D que s'utilitza en aquestes titulacions</w:t>
                  </w:r>
                </w:p>
              </w:tc>
            </w:tr>
            <w:tr w:rsidR="00FB4E9A">
              <w:trPr>
                <w:divId w:val="18611620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FB4E9A">
                  <w:pPr>
                    <w:rPr>
                      <w:rFonts w:ascii="Arial" w:eastAsia="Times New Roman" w:hAnsi="Arial" w:cs="Arial"/>
                      <w:color w:val="000000"/>
                      <w:sz w:val="9"/>
                      <w:szCs w:val="9"/>
                    </w:rPr>
                  </w:pPr>
                </w:p>
              </w:tc>
            </w:tr>
            <w:tr w:rsidR="00FB4E9A">
              <w:trPr>
                <w:divId w:val="18611620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Transversal al Centre </w:t>
                  </w:r>
                </w:p>
              </w:tc>
            </w:tr>
            <w:tr w:rsidR="00FB4E9A">
              <w:trPr>
                <w:divId w:val="18611620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Mitja </w:t>
                  </w:r>
                </w:p>
              </w:tc>
            </w:tr>
            <w:tr w:rsidR="00FB4E9A">
              <w:trPr>
                <w:divId w:val="18611620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1/1/2016</w:t>
                  </w:r>
                </w:p>
              </w:tc>
            </w:tr>
            <w:tr w:rsidR="00FB4E9A">
              <w:trPr>
                <w:divId w:val="18611620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En curs </w:t>
                  </w:r>
                </w:p>
              </w:tc>
            </w:tr>
            <w:tr w:rsidR="00FB4E9A">
              <w:trPr>
                <w:divId w:val="186116208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S'està actualmente valorant l'espai per a un futur laboratori, l'assignació d'una partida económica per a nous equipaments</w:t>
                  </w:r>
                </w:p>
              </w:tc>
            </w:tr>
          </w:tbl>
          <w:p w:rsidR="00FB4E9A" w:rsidRDefault="00FB4E9A">
            <w:pPr>
              <w:shd w:val="clear" w:color="auto" w:fill="FFFFFF"/>
              <w:rPr>
                <w:rFonts w:ascii="Arial" w:eastAsia="Times New Roman" w:hAnsi="Arial" w:cs="Arial"/>
                <w:color w:val="000000"/>
                <w:sz w:val="12"/>
                <w:szCs w:val="12"/>
              </w:rPr>
            </w:pPr>
          </w:p>
        </w:tc>
      </w:tr>
      <w:tr w:rsidR="00FB4E9A">
        <w:trPr>
          <w:jc w:val="center"/>
        </w:trPr>
        <w:tc>
          <w:tcPr>
            <w:tcW w:w="500" w:type="pct"/>
            <w:tcBorders>
              <w:top w:val="single" w:sz="4" w:space="0" w:color="CBCBCB"/>
              <w:left w:val="single" w:sz="4" w:space="0" w:color="CBCBCB"/>
              <w:bottom w:val="nil"/>
              <w:right w:val="nil"/>
            </w:tcBorders>
            <w:shd w:val="clear" w:color="auto" w:fill="FEFCFF"/>
            <w:tcMar>
              <w:top w:w="120" w:type="dxa"/>
              <w:left w:w="240" w:type="dxa"/>
              <w:bottom w:w="120" w:type="dxa"/>
              <w:right w:w="240" w:type="dxa"/>
            </w:tcMar>
            <w:vAlign w:val="center"/>
            <w:hideMark/>
          </w:tcPr>
          <w:p w:rsidR="00FB4E9A" w:rsidRDefault="00423FF4">
            <w:pPr>
              <w:jc w:val="center"/>
              <w:rPr>
                <w:rFonts w:ascii="Arial" w:eastAsia="Times New Roman" w:hAnsi="Arial" w:cs="Arial"/>
                <w:color w:val="000000"/>
                <w:sz w:val="12"/>
                <w:szCs w:val="12"/>
              </w:rPr>
            </w:pPr>
            <w:r>
              <w:rPr>
                <w:rFonts w:ascii="Arial" w:eastAsia="Times New Roman" w:hAnsi="Arial" w:cs="Arial"/>
                <w:b/>
                <w:bCs/>
                <w:color w:val="000000"/>
                <w:sz w:val="12"/>
                <w:szCs w:val="12"/>
              </w:rPr>
              <w:t>340.M.364.2015</w:t>
            </w:r>
            <w:r>
              <w:rPr>
                <w:rFonts w:ascii="Arial" w:eastAsia="Times New Roman" w:hAnsi="Arial" w:cs="Arial"/>
                <w:color w:val="000000"/>
                <w:sz w:val="12"/>
                <w:szCs w:val="12"/>
              </w:rPr>
              <w:t xml:space="preserve"> </w:t>
            </w:r>
          </w:p>
        </w:tc>
        <w:tc>
          <w:tcPr>
            <w:tcW w:w="0" w:type="auto"/>
            <w:tcBorders>
              <w:top w:val="single" w:sz="4" w:space="0" w:color="CBCBCB"/>
              <w:left w:val="single" w:sz="4" w:space="0" w:color="CBCBCB"/>
              <w:bottom w:val="nil"/>
              <w:right w:val="nil"/>
            </w:tcBorders>
            <w:shd w:val="clear" w:color="auto" w:fill="FEFCFF"/>
            <w:tcMar>
              <w:top w:w="100" w:type="dxa"/>
              <w:left w:w="100" w:type="dxa"/>
              <w:bottom w:w="100" w:type="dxa"/>
              <w:right w:w="100" w:type="dxa"/>
            </w:tcMar>
            <w:vAlign w:val="center"/>
            <w:hideMark/>
          </w:tcPr>
          <w:p w:rsidR="00FB4E9A" w:rsidRDefault="00423FF4">
            <w:pPr>
              <w:rPr>
                <w:rFonts w:ascii="Arial" w:eastAsia="Times New Roman" w:hAnsi="Arial" w:cs="Arial"/>
                <w:color w:val="000000"/>
                <w:sz w:val="12"/>
                <w:szCs w:val="12"/>
              </w:rPr>
            </w:pPr>
            <w:r>
              <w:rPr>
                <w:rFonts w:ascii="Arial" w:eastAsia="Times New Roman" w:hAnsi="Arial" w:cs="Arial"/>
                <w:b/>
                <w:bCs/>
                <w:color w:val="975858"/>
                <w:sz w:val="11"/>
                <w:szCs w:val="11"/>
              </w:rPr>
              <w:t>Millora recursos docents MUESAEI</w:t>
            </w:r>
            <w:r>
              <w:rPr>
                <w:rFonts w:ascii="Arial" w:eastAsia="Times New Roman" w:hAnsi="Arial" w:cs="Arial"/>
                <w:color w:val="975858"/>
                <w:sz w:val="11"/>
                <w:szCs w:val="11"/>
              </w:rPr>
              <w:t xml:space="preserve"> </w:t>
            </w:r>
          </w:p>
          <w:tbl>
            <w:tblPr>
              <w:tblW w:w="5000" w:type="pct"/>
              <w:tblCellSpacing w:w="15" w:type="dxa"/>
              <w:tblCellMar>
                <w:top w:w="15" w:type="dxa"/>
                <w:left w:w="15" w:type="dxa"/>
                <w:bottom w:w="15" w:type="dxa"/>
                <w:right w:w="15" w:type="dxa"/>
              </w:tblCellMar>
              <w:tblLook w:val="04A0"/>
            </w:tblPr>
            <w:tblGrid>
              <w:gridCol w:w="1486"/>
              <w:gridCol w:w="5810"/>
            </w:tblGrid>
            <w:tr w:rsidR="00FB4E9A">
              <w:trPr>
                <w:divId w:val="78042195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Càrrec: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Coordinador Màster MUESAEI</w:t>
                  </w:r>
                </w:p>
              </w:tc>
            </w:tr>
            <w:tr w:rsidR="00FB4E9A">
              <w:trPr>
                <w:divId w:val="78042195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Origen:</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acreditacio</w:t>
                  </w:r>
                </w:p>
              </w:tc>
            </w:tr>
            <w:tr w:rsidR="00FB4E9A">
              <w:trPr>
                <w:divId w:val="78042195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Estàndard 5: Eficàcia dels sistemes de suport a l'aprenentatge</w:t>
                  </w:r>
                </w:p>
              </w:tc>
            </w:tr>
            <w:tr w:rsidR="00FB4E9A">
              <w:trPr>
                <w:divId w:val="78042195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 partir de l'informe d'avaluació extern fet pel CAE es posa de manifest que les accinos fetes per reconduir el màster MUESAEI cap a una vessant industrial comporten una revisió de continguts docents i de practiques de laboratori. A tal efecte cal incorporar recursos de laboratori adients.</w:t>
                  </w:r>
                </w:p>
              </w:tc>
            </w:tr>
            <w:tr w:rsidR="00FB4E9A">
              <w:trPr>
                <w:divId w:val="7804219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Implica modificació de la memòria verificada</w:t>
                  </w:r>
                  <w:proofErr w:type="gramStart"/>
                  <w:r>
                    <w:rPr>
                      <w:rFonts w:ascii="Arial" w:eastAsia="Times New Roman" w:hAnsi="Arial" w:cs="Arial"/>
                      <w:b/>
                      <w:bCs/>
                      <w:color w:val="000000"/>
                      <w:sz w:val="9"/>
                      <w:szCs w:val="9"/>
                    </w:rPr>
                    <w:t>?</w:t>
                  </w:r>
                  <w:proofErr w:type="gramEnd"/>
                  <w:r>
                    <w:rPr>
                      <w:rFonts w:ascii="Arial" w:eastAsia="Times New Roman" w:hAnsi="Arial" w:cs="Arial"/>
                      <w:b/>
                      <w:bCs/>
                      <w:color w:val="000000"/>
                      <w:sz w:val="9"/>
                      <w:szCs w:val="9"/>
                    </w:rPr>
                    <w: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No </w:t>
                  </w:r>
                </w:p>
              </w:tc>
            </w:tr>
            <w:tr w:rsidR="00FB4E9A">
              <w:trPr>
                <w:divId w:val="7804219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lastRenderedPageBreak/>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Análisi dels recursos actuals - Revisió de continguts docents - Millora d'equipaments de laboratori </w:t>
                  </w:r>
                </w:p>
              </w:tc>
            </w:tr>
            <w:tr w:rsidR="00FB4E9A">
              <w:trPr>
                <w:divId w:val="7804219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Aconseguir nous equipaments docents per la docencia del màster</w:t>
                  </w:r>
                </w:p>
              </w:tc>
            </w:tr>
            <w:tr w:rsidR="00FB4E9A">
              <w:trPr>
                <w:divId w:val="7804219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 </w:t>
                  </w:r>
                </w:p>
              </w:tc>
            </w:tr>
            <w:tr w:rsidR="00FB4E9A">
              <w:trPr>
                <w:divId w:val="7804219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baixa </w:t>
                  </w:r>
                </w:p>
              </w:tc>
            </w:tr>
            <w:tr w:rsidR="00FB4E9A">
              <w:trPr>
                <w:divId w:val="7804219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1/1/2018</w:t>
                  </w:r>
                </w:p>
              </w:tc>
            </w:tr>
            <w:tr w:rsidR="00FB4E9A">
              <w:trPr>
                <w:divId w:val="7804219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Estat:</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 xml:space="preserve">Finalitzada </w:t>
                  </w:r>
                </w:p>
              </w:tc>
            </w:tr>
            <w:tr w:rsidR="00FB4E9A">
              <w:trPr>
                <w:divId w:val="7804219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S'ha consensuat amb la empresa KUKA Robots Ibérica la cessió d'un robot industrial per a les practiques en aquesta àrea.</w:t>
                  </w:r>
                </w:p>
              </w:tc>
            </w:tr>
            <w:tr w:rsidR="00FB4E9A">
              <w:trPr>
                <w:divId w:val="7804219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b/>
                      <w:bCs/>
                      <w:color w:val="000000"/>
                      <w:sz w:val="9"/>
                      <w:szCs w:val="9"/>
                    </w:rPr>
                    <w:t>Resultats obtinguts:</w:t>
                  </w:r>
                </w:p>
              </w:tc>
              <w:tc>
                <w:tcPr>
                  <w:tcW w:w="0" w:type="auto"/>
                  <w:tcBorders>
                    <w:top w:val="nil"/>
                    <w:left w:val="nil"/>
                    <w:bottom w:val="nil"/>
                    <w:right w:val="nil"/>
                  </w:tcBorders>
                  <w:tcMar>
                    <w:top w:w="120" w:type="dxa"/>
                    <w:left w:w="240" w:type="dxa"/>
                    <w:bottom w:w="120" w:type="dxa"/>
                    <w:right w:w="240" w:type="dxa"/>
                  </w:tcMar>
                  <w:vAlign w:val="center"/>
                  <w:hideMark/>
                </w:tcPr>
                <w:p w:rsidR="00FB4E9A" w:rsidRDefault="00423FF4">
                  <w:pPr>
                    <w:rPr>
                      <w:rFonts w:ascii="Arial" w:eastAsia="Times New Roman" w:hAnsi="Arial" w:cs="Arial"/>
                      <w:color w:val="000000"/>
                      <w:sz w:val="9"/>
                      <w:szCs w:val="9"/>
                    </w:rPr>
                  </w:pPr>
                  <w:r>
                    <w:rPr>
                      <w:rFonts w:ascii="Arial" w:eastAsia="Times New Roman" w:hAnsi="Arial" w:cs="Arial"/>
                      <w:color w:val="000000"/>
                      <w:sz w:val="9"/>
                      <w:szCs w:val="9"/>
                    </w:rPr>
                    <w:t>S'ha realitzat la instal·lació d'un robot per aplicacions docents</w:t>
                  </w:r>
                </w:p>
              </w:tc>
            </w:tr>
          </w:tbl>
          <w:p w:rsidR="00FB4E9A" w:rsidRDefault="00FB4E9A">
            <w:pPr>
              <w:shd w:val="clear" w:color="auto" w:fill="FFFFFF"/>
              <w:rPr>
                <w:rFonts w:ascii="Arial" w:eastAsia="Times New Roman" w:hAnsi="Arial" w:cs="Arial"/>
                <w:color w:val="000000"/>
                <w:sz w:val="12"/>
                <w:szCs w:val="12"/>
              </w:rPr>
            </w:pPr>
          </w:p>
        </w:tc>
      </w:tr>
    </w:tbl>
    <w:p w:rsidR="00FB4E9A" w:rsidRDefault="00FB4E9A">
      <w:pPr>
        <w:rPr>
          <w:rFonts w:ascii="Arial" w:eastAsia="Times New Roman" w:hAnsi="Arial" w:cs="Arial"/>
          <w:color w:val="000000"/>
          <w:sz w:val="13"/>
          <w:szCs w:val="13"/>
        </w:rPr>
      </w:pPr>
    </w:p>
    <w:p w:rsidR="00FB4E9A" w:rsidRDefault="00423FF4">
      <w:pPr>
        <w:pageBreakBefore/>
        <w:divId w:val="1142382472"/>
        <w:rPr>
          <w:rFonts w:ascii="Arial" w:eastAsia="Times New Roman" w:hAnsi="Arial" w:cs="Arial"/>
          <w:color w:val="000000"/>
          <w:sz w:val="13"/>
          <w:szCs w:val="13"/>
        </w:rPr>
      </w:pPr>
      <w:r>
        <w:rPr>
          <w:rFonts w:ascii="Arial" w:eastAsia="Times New Roman" w:hAnsi="Arial" w:cs="Arial"/>
          <w:color w:val="000000"/>
          <w:sz w:val="13"/>
          <w:szCs w:val="13"/>
        </w:rPr>
        <w:lastRenderedPageBreak/>
        <w:t> </w:t>
      </w:r>
    </w:p>
    <w:sectPr w:rsidR="00FB4E9A" w:rsidSect="00FB4E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62BE0"/>
    <w:multiLevelType w:val="hybridMultilevel"/>
    <w:tmpl w:val="F6B41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9BF35B0"/>
    <w:multiLevelType w:val="hybridMultilevel"/>
    <w:tmpl w:val="A13893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grammar="clean"/>
  <w:defaultTabStop w:val="708"/>
  <w:hyphenationZone w:val="425"/>
  <w:noPunctuationKerning/>
  <w:characterSpacingControl w:val="doNotCompress"/>
  <w:compat/>
  <w:rsids>
    <w:rsidRoot w:val="00975DAB"/>
    <w:rsid w:val="00423FF4"/>
    <w:rsid w:val="0082128A"/>
    <w:rsid w:val="00975DAB"/>
    <w:rsid w:val="00DC194D"/>
    <w:rsid w:val="00FB4E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9A"/>
    <w:rPr>
      <w:rFonts w:eastAsiaTheme="minorEastAsia"/>
      <w:sz w:val="24"/>
      <w:szCs w:val="24"/>
    </w:rPr>
  </w:style>
  <w:style w:type="paragraph" w:styleId="Ttulo1">
    <w:name w:val="heading 1"/>
    <w:basedOn w:val="Normal"/>
    <w:link w:val="Ttulo1Car"/>
    <w:uiPriority w:val="9"/>
    <w:qFormat/>
    <w:rsid w:val="00FB4E9A"/>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B4E9A"/>
    <w:rPr>
      <w:strike w:val="0"/>
      <w:dstrike w:val="0"/>
      <w:color w:val="0000FF"/>
      <w:u w:val="none"/>
      <w:effect w:val="none"/>
    </w:rPr>
  </w:style>
  <w:style w:type="character" w:styleId="Hipervnculovisitado">
    <w:name w:val="FollowedHyperlink"/>
    <w:basedOn w:val="Fuentedeprrafopredeter"/>
    <w:uiPriority w:val="99"/>
    <w:semiHidden/>
    <w:unhideWhenUsed/>
    <w:rsid w:val="00FB4E9A"/>
    <w:rPr>
      <w:strike w:val="0"/>
      <w:dstrike w:val="0"/>
      <w:color w:val="800080"/>
      <w:u w:val="none"/>
      <w:effect w:val="none"/>
    </w:rPr>
  </w:style>
  <w:style w:type="paragraph" w:customStyle="1" w:styleId="content1">
    <w:name w:val="content1"/>
    <w:basedOn w:val="Normal"/>
    <w:rsid w:val="00FB4E9A"/>
    <w:pPr>
      <w:spacing w:before="150" w:after="150" w:line="300" w:lineRule="atLeast"/>
      <w:ind w:left="150" w:right="150"/>
      <w:jc w:val="both"/>
    </w:pPr>
  </w:style>
  <w:style w:type="paragraph" w:customStyle="1" w:styleId="content2">
    <w:name w:val="content2"/>
    <w:basedOn w:val="Normal"/>
    <w:rsid w:val="00FB4E9A"/>
    <w:pPr>
      <w:spacing w:before="150"/>
      <w:ind w:left="50"/>
      <w:jc w:val="both"/>
    </w:pPr>
  </w:style>
  <w:style w:type="paragraph" w:customStyle="1" w:styleId="content3">
    <w:name w:val="content3"/>
    <w:basedOn w:val="Normal"/>
    <w:rsid w:val="00FB4E9A"/>
    <w:pPr>
      <w:spacing w:before="150"/>
      <w:ind w:left="50" w:right="250"/>
      <w:jc w:val="center"/>
    </w:pPr>
  </w:style>
  <w:style w:type="paragraph" w:styleId="NormalWeb">
    <w:name w:val="Normal (Web)"/>
    <w:basedOn w:val="Normal"/>
    <w:uiPriority w:val="99"/>
    <w:semiHidden/>
    <w:unhideWhenUsed/>
    <w:rsid w:val="00FB4E9A"/>
    <w:pPr>
      <w:spacing w:before="100" w:beforeAutospacing="1" w:after="100" w:afterAutospacing="1"/>
    </w:pPr>
  </w:style>
  <w:style w:type="paragraph" w:customStyle="1" w:styleId="negreta">
    <w:name w:val="negreta"/>
    <w:basedOn w:val="Normal"/>
    <w:rsid w:val="00FB4E9A"/>
    <w:pPr>
      <w:spacing w:before="100" w:beforeAutospacing="1" w:after="100" w:afterAutospacing="1"/>
    </w:pPr>
  </w:style>
  <w:style w:type="paragraph" w:customStyle="1" w:styleId="titol2">
    <w:name w:val="titol2"/>
    <w:basedOn w:val="Normal"/>
    <w:rsid w:val="00FB4E9A"/>
    <w:pPr>
      <w:spacing w:before="100" w:after="100" w:afterAutospacing="1"/>
    </w:pPr>
    <w:rPr>
      <w:b/>
      <w:bCs/>
      <w:sz w:val="34"/>
      <w:szCs w:val="34"/>
    </w:rPr>
  </w:style>
  <w:style w:type="paragraph" w:customStyle="1" w:styleId="titol3">
    <w:name w:val="titol3"/>
    <w:basedOn w:val="Normal"/>
    <w:rsid w:val="00FB4E9A"/>
    <w:pPr>
      <w:spacing w:before="100" w:after="100" w:afterAutospacing="1"/>
      <w:ind w:left="100"/>
    </w:pPr>
    <w:rPr>
      <w:b/>
      <w:bCs/>
      <w:sz w:val="26"/>
      <w:szCs w:val="26"/>
    </w:rPr>
  </w:style>
  <w:style w:type="paragraph" w:customStyle="1" w:styleId="titolinforme">
    <w:name w:val="titol_informe"/>
    <w:basedOn w:val="Normal"/>
    <w:rsid w:val="00FB4E9A"/>
    <w:pPr>
      <w:spacing w:before="500" w:after="100" w:afterAutospacing="1"/>
    </w:pPr>
    <w:rPr>
      <w:b/>
      <w:bCs/>
      <w:color w:val="335C85"/>
      <w:sz w:val="21"/>
      <w:szCs w:val="21"/>
    </w:rPr>
  </w:style>
  <w:style w:type="paragraph" w:customStyle="1" w:styleId="titolmill">
    <w:name w:val="titolmill"/>
    <w:basedOn w:val="Normal"/>
    <w:rsid w:val="00FB4E9A"/>
    <w:pPr>
      <w:spacing w:before="100" w:beforeAutospacing="1" w:after="100" w:afterAutospacing="1"/>
    </w:pPr>
    <w:rPr>
      <w:color w:val="975858"/>
      <w:sz w:val="11"/>
      <w:szCs w:val="11"/>
    </w:rPr>
  </w:style>
  <w:style w:type="paragraph" w:customStyle="1" w:styleId="pure-table">
    <w:name w:val="pure-table"/>
    <w:basedOn w:val="Normal"/>
    <w:rsid w:val="00FB4E9A"/>
    <w:pPr>
      <w:pBdr>
        <w:top w:val="single" w:sz="4" w:space="0" w:color="CBCBCB"/>
        <w:left w:val="single" w:sz="4" w:space="0" w:color="CBCBCB"/>
        <w:bottom w:val="single" w:sz="4" w:space="0" w:color="CBCBCB"/>
        <w:right w:val="single" w:sz="4" w:space="0" w:color="CBCBCB"/>
      </w:pBdr>
      <w:spacing w:before="100" w:beforeAutospacing="1" w:after="100" w:afterAutospacing="1"/>
    </w:pPr>
    <w:rPr>
      <w:sz w:val="13"/>
      <w:szCs w:val="13"/>
    </w:rPr>
  </w:style>
  <w:style w:type="paragraph" w:customStyle="1" w:styleId="pure-table-proposta">
    <w:name w:val="pure-table-proposta"/>
    <w:basedOn w:val="Normal"/>
    <w:rsid w:val="00FB4E9A"/>
    <w:pPr>
      <w:pBdr>
        <w:top w:val="single" w:sz="4" w:space="0" w:color="CBCBCB"/>
        <w:left w:val="single" w:sz="4" w:space="0" w:color="CBCBCB"/>
        <w:bottom w:val="single" w:sz="4" w:space="0" w:color="CBCBCB"/>
        <w:right w:val="single" w:sz="4" w:space="0" w:color="CBCBCB"/>
      </w:pBdr>
      <w:spacing w:before="100" w:beforeAutospacing="1" w:after="100" w:afterAutospacing="1"/>
    </w:pPr>
    <w:rPr>
      <w:sz w:val="12"/>
      <w:szCs w:val="12"/>
    </w:rPr>
  </w:style>
  <w:style w:type="paragraph" w:customStyle="1" w:styleId="portadainforme">
    <w:name w:val="portada_informe"/>
    <w:basedOn w:val="Normal"/>
    <w:rsid w:val="00FB4E9A"/>
    <w:pPr>
      <w:spacing w:before="100" w:beforeAutospacing="1" w:after="100" w:afterAutospacing="1"/>
      <w:jc w:val="center"/>
    </w:pPr>
  </w:style>
  <w:style w:type="paragraph" w:customStyle="1" w:styleId="portada">
    <w:name w:val="portada"/>
    <w:basedOn w:val="Normal"/>
    <w:rsid w:val="00FB4E9A"/>
    <w:pPr>
      <w:spacing w:before="35" w:after="100" w:afterAutospacing="1"/>
      <w:ind w:left="1000" w:right="-500"/>
    </w:pPr>
  </w:style>
  <w:style w:type="paragraph" w:customStyle="1" w:styleId="saltpagina">
    <w:name w:val="saltpagina"/>
    <w:basedOn w:val="Normal"/>
    <w:rsid w:val="00FB4E9A"/>
    <w:pPr>
      <w:pageBreakBefore/>
      <w:spacing w:before="100" w:beforeAutospacing="1" w:after="100" w:afterAutospacing="1"/>
    </w:pPr>
  </w:style>
  <w:style w:type="paragraph" w:customStyle="1" w:styleId="ocultarnoprint">
    <w:name w:val="ocultar_noprint"/>
    <w:basedOn w:val="Normal"/>
    <w:rsid w:val="00FB4E9A"/>
    <w:pPr>
      <w:spacing w:before="100" w:beforeAutospacing="1" w:after="100" w:afterAutospacing="1"/>
    </w:pPr>
  </w:style>
  <w:style w:type="paragraph" w:customStyle="1" w:styleId="ocultarprint">
    <w:name w:val="ocultar_print"/>
    <w:basedOn w:val="Normal"/>
    <w:rsid w:val="00FB4E9A"/>
    <w:pPr>
      <w:spacing w:before="100" w:beforeAutospacing="1" w:after="100" w:afterAutospacing="1"/>
    </w:pPr>
    <w:rPr>
      <w:vanish/>
    </w:rPr>
  </w:style>
  <w:style w:type="paragraph" w:customStyle="1" w:styleId="ocultarword">
    <w:name w:val="ocultar_word"/>
    <w:basedOn w:val="Normal"/>
    <w:rsid w:val="00FB4E9A"/>
    <w:pPr>
      <w:spacing w:before="100" w:beforeAutospacing="1" w:after="100" w:afterAutospacing="1"/>
    </w:pPr>
    <w:rPr>
      <w:vanish/>
    </w:rPr>
  </w:style>
  <w:style w:type="paragraph" w:customStyle="1" w:styleId="ocultarwordprint">
    <w:name w:val="ocultar_word_print"/>
    <w:basedOn w:val="Normal"/>
    <w:rsid w:val="00FB4E9A"/>
    <w:pPr>
      <w:spacing w:before="100" w:beforeAutospacing="1" w:after="100" w:afterAutospacing="1"/>
    </w:pPr>
    <w:rPr>
      <w:vanish/>
    </w:rPr>
  </w:style>
  <w:style w:type="paragraph" w:customStyle="1" w:styleId="ocultarwordnoprint">
    <w:name w:val="ocultar_word_noprint"/>
    <w:basedOn w:val="Normal"/>
    <w:rsid w:val="00FB4E9A"/>
    <w:pPr>
      <w:spacing w:before="100" w:beforeAutospacing="1" w:after="100" w:afterAutospacing="1"/>
    </w:pPr>
    <w:rPr>
      <w:vanish/>
    </w:rPr>
  </w:style>
  <w:style w:type="paragraph" w:customStyle="1" w:styleId="textarea1">
    <w:name w:val="textarea1"/>
    <w:basedOn w:val="Normal"/>
    <w:rsid w:val="00FB4E9A"/>
    <w:pPr>
      <w:spacing w:before="100" w:beforeAutospacing="1" w:after="100" w:afterAutospacing="1"/>
      <w:ind w:left="250" w:right="400"/>
    </w:pPr>
  </w:style>
  <w:style w:type="paragraph" w:customStyle="1" w:styleId="textedit">
    <w:name w:val="textedit"/>
    <w:basedOn w:val="Normal"/>
    <w:rsid w:val="00FB4E9A"/>
    <w:pPr>
      <w:pBdr>
        <w:top w:val="single" w:sz="4" w:space="3" w:color="BBBBBB"/>
        <w:left w:val="single" w:sz="4" w:space="3" w:color="BBBBBB"/>
        <w:bottom w:val="single" w:sz="4" w:space="3" w:color="BBBBBB"/>
        <w:right w:val="single" w:sz="4" w:space="3" w:color="BBBBBB"/>
      </w:pBdr>
    </w:pPr>
  </w:style>
  <w:style w:type="paragraph" w:customStyle="1" w:styleId="commentbox">
    <w:name w:val="commentbox"/>
    <w:basedOn w:val="Normal"/>
    <w:rsid w:val="00FB4E9A"/>
    <w:pPr>
      <w:pBdr>
        <w:top w:val="single" w:sz="4" w:space="4" w:color="CCCCCC"/>
        <w:left w:val="single" w:sz="4" w:space="4" w:color="CCCCCC"/>
        <w:bottom w:val="single" w:sz="4" w:space="4" w:color="CCCCCC"/>
        <w:right w:val="single" w:sz="4" w:space="4" w:color="CCCCCC"/>
      </w:pBdr>
      <w:spacing w:before="100" w:beforeAutospacing="1" w:after="100" w:afterAutospacing="1" w:line="312" w:lineRule="auto"/>
    </w:pPr>
    <w:rPr>
      <w:sz w:val="13"/>
      <w:szCs w:val="13"/>
    </w:rPr>
  </w:style>
  <w:style w:type="paragraph" w:customStyle="1" w:styleId="separagris">
    <w:name w:val="separa_gris"/>
    <w:basedOn w:val="Normal"/>
    <w:rsid w:val="00FB4E9A"/>
    <w:pPr>
      <w:shd w:val="clear" w:color="auto" w:fill="CCCCCC"/>
      <w:spacing w:before="100" w:beforeAutospacing="1" w:after="100" w:afterAutospacing="1"/>
    </w:pPr>
    <w:rPr>
      <w:color w:val="CCCCCC"/>
    </w:rPr>
  </w:style>
  <w:style w:type="paragraph" w:customStyle="1" w:styleId="header1">
    <w:name w:val="header1"/>
    <w:basedOn w:val="Normal"/>
    <w:rsid w:val="00FB4E9A"/>
    <w:pPr>
      <w:pBdr>
        <w:bottom w:val="single" w:sz="18" w:space="3" w:color="D9D9D9"/>
      </w:pBdr>
      <w:spacing w:before="100" w:beforeAutospacing="1" w:after="100" w:afterAutospacing="1"/>
    </w:pPr>
    <w:rPr>
      <w:b/>
      <w:bCs/>
      <w:sz w:val="41"/>
      <w:szCs w:val="41"/>
    </w:rPr>
  </w:style>
  <w:style w:type="paragraph" w:customStyle="1" w:styleId="headerinforme">
    <w:name w:val="header_informe"/>
    <w:basedOn w:val="Normal"/>
    <w:rsid w:val="00FB4E9A"/>
    <w:pPr>
      <w:pBdr>
        <w:bottom w:val="single" w:sz="18" w:space="3" w:color="D9D9D9"/>
      </w:pBdr>
      <w:spacing w:before="100" w:beforeAutospacing="1" w:after="100" w:afterAutospacing="1"/>
    </w:pPr>
    <w:rPr>
      <w:b/>
      <w:bCs/>
      <w:sz w:val="41"/>
      <w:szCs w:val="41"/>
    </w:rPr>
  </w:style>
  <w:style w:type="paragraph" w:customStyle="1" w:styleId="headerinforme2">
    <w:name w:val="header_informe2"/>
    <w:basedOn w:val="Normal"/>
    <w:rsid w:val="00FB4E9A"/>
    <w:pPr>
      <w:pBdr>
        <w:bottom w:val="single" w:sz="18" w:space="3" w:color="D9D9D9"/>
      </w:pBdr>
      <w:spacing w:before="100" w:beforeAutospacing="1" w:after="100" w:afterAutospacing="1"/>
    </w:pPr>
    <w:rPr>
      <w:b/>
      <w:bCs/>
      <w:sz w:val="29"/>
      <w:szCs w:val="29"/>
    </w:rPr>
  </w:style>
  <w:style w:type="paragraph" w:customStyle="1" w:styleId="header2">
    <w:name w:val="header2"/>
    <w:basedOn w:val="Normal"/>
    <w:rsid w:val="00FB4E9A"/>
    <w:pPr>
      <w:pBdr>
        <w:bottom w:val="dotted" w:sz="12" w:space="3" w:color="D9D9D9"/>
      </w:pBdr>
    </w:pPr>
    <w:rPr>
      <w:sz w:val="34"/>
      <w:szCs w:val="34"/>
    </w:rPr>
  </w:style>
  <w:style w:type="paragraph" w:customStyle="1" w:styleId="addevidencia">
    <w:name w:val="addevidencia"/>
    <w:basedOn w:val="Normal"/>
    <w:rsid w:val="00FB4E9A"/>
    <w:pPr>
      <w:pBdr>
        <w:left w:val="single" w:sz="4" w:space="0" w:color="BBBBBB"/>
        <w:bottom w:val="single" w:sz="4" w:space="0" w:color="BBBBBB"/>
        <w:right w:val="single" w:sz="4" w:space="0" w:color="BBBBBB"/>
      </w:pBdr>
      <w:shd w:val="clear" w:color="auto" w:fill="E0E0E0"/>
      <w:spacing w:before="100" w:beforeAutospacing="1" w:after="100" w:afterAutospacing="1"/>
      <w:ind w:left="250"/>
      <w:jc w:val="center"/>
    </w:pPr>
    <w:rPr>
      <w:b/>
      <w:bCs/>
      <w:color w:val="000000"/>
      <w:sz w:val="12"/>
      <w:szCs w:val="12"/>
    </w:rPr>
  </w:style>
  <w:style w:type="paragraph" w:customStyle="1" w:styleId="addanotacio">
    <w:name w:val="addanotacio"/>
    <w:basedOn w:val="Normal"/>
    <w:rsid w:val="00FB4E9A"/>
    <w:pPr>
      <w:pBdr>
        <w:left w:val="single" w:sz="4" w:space="0" w:color="BBBBBB"/>
        <w:bottom w:val="single" w:sz="4" w:space="0" w:color="BBBBBB"/>
        <w:right w:val="single" w:sz="4" w:space="0" w:color="BBBBBB"/>
      </w:pBdr>
      <w:shd w:val="clear" w:color="auto" w:fill="E0E0E0"/>
      <w:spacing w:before="100" w:beforeAutospacing="1" w:after="100" w:afterAutospacing="1"/>
      <w:ind w:left="490"/>
      <w:jc w:val="center"/>
    </w:pPr>
    <w:rPr>
      <w:b/>
      <w:bCs/>
      <w:color w:val="000000"/>
      <w:sz w:val="12"/>
      <w:szCs w:val="12"/>
    </w:rPr>
  </w:style>
  <w:style w:type="paragraph" w:customStyle="1" w:styleId="white">
    <w:name w:val="white"/>
    <w:basedOn w:val="Normal"/>
    <w:rsid w:val="00FB4E9A"/>
    <w:pPr>
      <w:spacing w:before="100" w:beforeAutospacing="1" w:after="100" w:afterAutospacing="1"/>
    </w:pPr>
    <w:rPr>
      <w:color w:val="FFFFFF"/>
    </w:rPr>
  </w:style>
  <w:style w:type="paragraph" w:customStyle="1" w:styleId="azul1">
    <w:name w:val="azul1"/>
    <w:basedOn w:val="Normal"/>
    <w:rsid w:val="00FB4E9A"/>
    <w:pPr>
      <w:spacing w:before="100" w:beforeAutospacing="1" w:after="100" w:afterAutospacing="1"/>
    </w:pPr>
    <w:rPr>
      <w:color w:val="335C85"/>
    </w:rPr>
  </w:style>
  <w:style w:type="paragraph" w:customStyle="1" w:styleId="menuselected">
    <w:name w:val="menuselected"/>
    <w:basedOn w:val="Normal"/>
    <w:rsid w:val="00FB4E9A"/>
    <w:pPr>
      <w:spacing w:before="100" w:beforeAutospacing="1" w:after="100" w:afterAutospacing="1"/>
    </w:pPr>
    <w:rPr>
      <w:b/>
      <w:bCs/>
      <w:color w:val="666666"/>
      <w:sz w:val="13"/>
      <w:szCs w:val="13"/>
    </w:rPr>
  </w:style>
  <w:style w:type="paragraph" w:customStyle="1" w:styleId="menuselected2">
    <w:name w:val="menuselected2"/>
    <w:basedOn w:val="Normal"/>
    <w:rsid w:val="00FB4E9A"/>
    <w:pPr>
      <w:spacing w:before="100" w:beforeAutospacing="1" w:after="100" w:afterAutospacing="1"/>
    </w:pPr>
    <w:rPr>
      <w:b/>
      <w:bCs/>
    </w:rPr>
  </w:style>
  <w:style w:type="paragraph" w:customStyle="1" w:styleId="textb">
    <w:name w:val="textb"/>
    <w:basedOn w:val="Normal"/>
    <w:rsid w:val="00FB4E9A"/>
    <w:pPr>
      <w:spacing w:before="100" w:beforeAutospacing="1" w:after="100" w:afterAutospacing="1"/>
      <w:jc w:val="both"/>
    </w:pPr>
    <w:rPr>
      <w:b/>
      <w:bCs/>
      <w:color w:val="335C85"/>
    </w:rPr>
  </w:style>
  <w:style w:type="paragraph" w:customStyle="1" w:styleId="ablack">
    <w:name w:val="ablack"/>
    <w:basedOn w:val="Normal"/>
    <w:rsid w:val="00FB4E9A"/>
    <w:pPr>
      <w:spacing w:before="100" w:beforeAutospacing="1" w:after="100" w:afterAutospacing="1"/>
    </w:pPr>
    <w:rPr>
      <w:color w:val="000000"/>
    </w:rPr>
  </w:style>
  <w:style w:type="paragraph" w:customStyle="1" w:styleId="titlestandar">
    <w:name w:val="titlestandar"/>
    <w:basedOn w:val="Normal"/>
    <w:rsid w:val="00FB4E9A"/>
    <w:pPr>
      <w:spacing w:before="100" w:beforeAutospacing="1" w:after="100" w:afterAutospacing="1"/>
      <w:ind w:left="-200"/>
    </w:pPr>
    <w:rPr>
      <w:b/>
      <w:bCs/>
      <w:color w:val="929292"/>
      <w:sz w:val="22"/>
      <w:szCs w:val="22"/>
    </w:rPr>
  </w:style>
  <w:style w:type="paragraph" w:customStyle="1" w:styleId="notehidden">
    <w:name w:val="notehidden"/>
    <w:basedOn w:val="Normal"/>
    <w:rsid w:val="00FB4E9A"/>
    <w:pPr>
      <w:spacing w:before="100" w:beforeAutospacing="1" w:after="100" w:afterAutospacing="1"/>
    </w:pPr>
    <w:rPr>
      <w:vanish/>
    </w:rPr>
  </w:style>
  <w:style w:type="paragraph" w:customStyle="1" w:styleId="note">
    <w:name w:val="note"/>
    <w:basedOn w:val="Normal"/>
    <w:rsid w:val="00FB4E9A"/>
    <w:pPr>
      <w:spacing w:before="100" w:beforeAutospacing="1" w:after="100" w:afterAutospacing="1"/>
    </w:pPr>
    <w:rPr>
      <w:rFonts w:ascii="Arial" w:hAnsi="Arial" w:cs="Arial"/>
      <w:color w:val="000000"/>
      <w:sz w:val="19"/>
      <w:szCs w:val="19"/>
    </w:rPr>
  </w:style>
  <w:style w:type="paragraph" w:customStyle="1" w:styleId="notebody">
    <w:name w:val="notebody"/>
    <w:basedOn w:val="Normal"/>
    <w:rsid w:val="00FB4E9A"/>
    <w:pPr>
      <w:pBdr>
        <w:top w:val="single" w:sz="4" w:space="1" w:color="DAA520"/>
        <w:left w:val="single" w:sz="4" w:space="1" w:color="DAA520"/>
        <w:bottom w:val="single" w:sz="4" w:space="1" w:color="DAA520"/>
        <w:right w:val="single" w:sz="4" w:space="1" w:color="DAA520"/>
      </w:pBdr>
      <w:shd w:val="clear" w:color="auto" w:fill="FFFFFF"/>
      <w:spacing w:before="100" w:beforeAutospacing="1" w:after="100" w:afterAutospacing="1"/>
    </w:pPr>
    <w:rPr>
      <w:color w:val="335C85"/>
    </w:rPr>
  </w:style>
  <w:style w:type="paragraph" w:customStyle="1" w:styleId="notetitle">
    <w:name w:val="notetitle"/>
    <w:basedOn w:val="Normal"/>
    <w:rsid w:val="00FB4E9A"/>
    <w:pPr>
      <w:pBdr>
        <w:bottom w:val="dashed" w:sz="4" w:space="1" w:color="666666"/>
      </w:pBdr>
      <w:shd w:val="clear" w:color="auto" w:fill="000000"/>
    </w:pPr>
    <w:rPr>
      <w:color w:val="000000"/>
    </w:rPr>
  </w:style>
  <w:style w:type="paragraph" w:customStyle="1" w:styleId="notevisible">
    <w:name w:val="notevisible"/>
    <w:basedOn w:val="Normal"/>
    <w:rsid w:val="00FB4E9A"/>
    <w:pPr>
      <w:spacing w:before="100" w:beforeAutospacing="1" w:after="100" w:afterAutospacing="1"/>
    </w:pPr>
  </w:style>
  <w:style w:type="paragraph" w:customStyle="1" w:styleId="pure-button">
    <w:name w:val="pure-button"/>
    <w:basedOn w:val="Normal"/>
    <w:rsid w:val="00FB4E9A"/>
    <w:pPr>
      <w:pBdr>
        <w:top w:val="single" w:sz="4" w:space="6" w:color="999999"/>
        <w:left w:val="single" w:sz="4" w:space="12" w:color="999999"/>
        <w:bottom w:val="single" w:sz="4" w:space="6" w:color="999999"/>
        <w:right w:val="single" w:sz="4" w:space="12" w:color="999999"/>
      </w:pBdr>
      <w:shd w:val="clear" w:color="auto" w:fill="E6E6E6"/>
      <w:spacing w:before="100" w:beforeAutospacing="1" w:after="100" w:afterAutospacing="1"/>
    </w:pPr>
    <w:rPr>
      <w:rFonts w:ascii="inherit" w:hAnsi="inherit"/>
      <w:color w:val="444444"/>
    </w:rPr>
  </w:style>
  <w:style w:type="paragraph" w:customStyle="1" w:styleId="pure-button-hidden">
    <w:name w:val="pure-button-hidden"/>
    <w:basedOn w:val="Normal"/>
    <w:rsid w:val="00FB4E9A"/>
    <w:pPr>
      <w:spacing w:before="100" w:beforeAutospacing="1" w:after="100" w:afterAutospacing="1"/>
    </w:pPr>
    <w:rPr>
      <w:vanish/>
    </w:rPr>
  </w:style>
  <w:style w:type="paragraph" w:customStyle="1" w:styleId="pure-button-primary">
    <w:name w:val="pure-button-primary"/>
    <w:basedOn w:val="Normal"/>
    <w:rsid w:val="00FB4E9A"/>
    <w:pPr>
      <w:shd w:val="clear" w:color="auto" w:fill="0078E7"/>
      <w:spacing w:before="100" w:beforeAutospacing="1" w:after="100" w:afterAutospacing="1"/>
    </w:pPr>
    <w:rPr>
      <w:color w:val="FFFFFF"/>
    </w:rPr>
  </w:style>
  <w:style w:type="paragraph" w:customStyle="1" w:styleId="pure-button-selected">
    <w:name w:val="pure-button-selected"/>
    <w:basedOn w:val="Normal"/>
    <w:rsid w:val="00FB4E9A"/>
    <w:pPr>
      <w:shd w:val="clear" w:color="auto" w:fill="0078E7"/>
      <w:spacing w:before="100" w:beforeAutospacing="1" w:after="100" w:afterAutospacing="1"/>
    </w:pPr>
    <w:rPr>
      <w:color w:val="FFFFFF"/>
    </w:rPr>
  </w:style>
  <w:style w:type="paragraph" w:customStyle="1" w:styleId="pure-button-green">
    <w:name w:val="pure-button-green"/>
    <w:basedOn w:val="Normal"/>
    <w:rsid w:val="00FB4E9A"/>
    <w:pPr>
      <w:shd w:val="clear" w:color="auto" w:fill="16BB51"/>
      <w:spacing w:before="100" w:beforeAutospacing="1" w:after="100" w:afterAutospacing="1"/>
    </w:pPr>
    <w:rPr>
      <w:b/>
      <w:bCs/>
      <w:caps/>
      <w:color w:val="FFFFFF"/>
    </w:rPr>
  </w:style>
  <w:style w:type="paragraph" w:customStyle="1" w:styleId="contadordcha">
    <w:name w:val="contador_dcha"/>
    <w:basedOn w:val="Normal"/>
    <w:rsid w:val="00FB4E9A"/>
    <w:pPr>
      <w:pBdr>
        <w:left w:val="single" w:sz="4" w:space="2" w:color="BBBBBB"/>
        <w:bottom w:val="single" w:sz="4" w:space="2" w:color="BBBBBB"/>
        <w:right w:val="single" w:sz="4" w:space="2" w:color="BBBBBB"/>
      </w:pBdr>
      <w:spacing w:after="100" w:afterAutospacing="1"/>
      <w:jc w:val="center"/>
    </w:pPr>
    <w:rPr>
      <w:b/>
      <w:bCs/>
    </w:rPr>
  </w:style>
  <w:style w:type="paragraph" w:customStyle="1" w:styleId="or-spacer">
    <w:name w:val="or-spacer"/>
    <w:basedOn w:val="Normal"/>
    <w:rsid w:val="00FB4E9A"/>
    <w:pPr>
      <w:spacing w:before="1000" w:after="100" w:afterAutospacing="1"/>
      <w:ind w:left="1000"/>
    </w:pPr>
  </w:style>
  <w:style w:type="paragraph" w:customStyle="1" w:styleId="or-spacer-vertical">
    <w:name w:val="or-spacer-vertical"/>
    <w:basedOn w:val="Normal"/>
    <w:rsid w:val="00FB4E9A"/>
    <w:pPr>
      <w:spacing w:before="1000" w:after="100" w:afterAutospacing="1"/>
      <w:ind w:left="1000"/>
    </w:pPr>
  </w:style>
  <w:style w:type="paragraph" w:customStyle="1" w:styleId="centraltest">
    <w:name w:val="central_test"/>
    <w:basedOn w:val="Normal"/>
    <w:rsid w:val="00FB4E9A"/>
    <w:pPr>
      <w:shd w:val="clear" w:color="auto" w:fill="BBBBBB"/>
    </w:pPr>
  </w:style>
  <w:style w:type="paragraph" w:customStyle="1" w:styleId="headertest">
    <w:name w:val="header_test"/>
    <w:basedOn w:val="Normal"/>
    <w:rsid w:val="00FB4E9A"/>
    <w:pPr>
      <w:shd w:val="clear" w:color="auto" w:fill="CCCCCC"/>
      <w:spacing w:before="100" w:beforeAutospacing="1" w:after="100" w:afterAutospacing="1"/>
    </w:pPr>
  </w:style>
  <w:style w:type="paragraph" w:customStyle="1" w:styleId="Piedepgina1">
    <w:name w:val="Pie de página1"/>
    <w:basedOn w:val="Normal"/>
    <w:rsid w:val="00FB4E9A"/>
    <w:pPr>
      <w:shd w:val="clear" w:color="auto" w:fill="FF0000"/>
      <w:spacing w:before="100" w:beforeAutospacing="1" w:after="100" w:afterAutospacing="1"/>
    </w:pPr>
  </w:style>
  <w:style w:type="paragraph" w:customStyle="1" w:styleId="ambit">
    <w:name w:val="ambit"/>
    <w:basedOn w:val="Normal"/>
    <w:rsid w:val="00FB4E9A"/>
    <w:pPr>
      <w:spacing w:before="100" w:beforeAutospacing="1" w:after="100" w:afterAutospacing="1"/>
    </w:pPr>
    <w:rPr>
      <w:b/>
      <w:bCs/>
    </w:rPr>
  </w:style>
  <w:style w:type="paragraph" w:customStyle="1" w:styleId="centrat">
    <w:name w:val="centrat"/>
    <w:basedOn w:val="Normal"/>
    <w:rsid w:val="00FB4E9A"/>
    <w:pPr>
      <w:spacing w:before="100" w:beforeAutospacing="1" w:after="100" w:afterAutospacing="1"/>
    </w:pPr>
  </w:style>
  <w:style w:type="paragraph" w:customStyle="1" w:styleId="negreta1">
    <w:name w:val="negreta1"/>
    <w:basedOn w:val="Normal"/>
    <w:rsid w:val="00FB4E9A"/>
    <w:rPr>
      <w:b/>
      <w:bCs/>
      <w:color w:val="6599CC"/>
    </w:rPr>
  </w:style>
  <w:style w:type="paragraph" w:customStyle="1" w:styleId="centrat1">
    <w:name w:val="centrat1"/>
    <w:basedOn w:val="Normal"/>
    <w:rsid w:val="00FB4E9A"/>
    <w:pPr>
      <w:spacing w:before="100" w:beforeAutospacing="1" w:after="100" w:afterAutospacing="1"/>
      <w:jc w:val="center"/>
    </w:pPr>
  </w:style>
  <w:style w:type="character" w:customStyle="1" w:styleId="Ttulo1Car">
    <w:name w:val="Título 1 Car"/>
    <w:basedOn w:val="Fuentedeprrafopredeter"/>
    <w:link w:val="Ttulo1"/>
    <w:uiPriority w:val="9"/>
    <w:rsid w:val="00FB4E9A"/>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C194D"/>
    <w:pPr>
      <w:ind w:left="720"/>
      <w:contextualSpacing/>
    </w:pPr>
    <w:rPr>
      <w:lang w:val="ca-ES"/>
    </w:rPr>
  </w:style>
</w:styles>
</file>

<file path=word/webSettings.xml><?xml version="1.0" encoding="utf-8"?>
<w:webSettings xmlns:r="http://schemas.openxmlformats.org/officeDocument/2006/relationships" xmlns:w="http://schemas.openxmlformats.org/wordprocessingml/2006/main">
  <w:divs>
    <w:div w:id="90511598">
      <w:marLeft w:val="0"/>
      <w:marRight w:val="0"/>
      <w:marTop w:val="200"/>
      <w:marBottom w:val="0"/>
      <w:divBdr>
        <w:top w:val="none" w:sz="0" w:space="0" w:color="auto"/>
        <w:left w:val="none" w:sz="0" w:space="0" w:color="auto"/>
        <w:bottom w:val="none" w:sz="0" w:space="0" w:color="auto"/>
        <w:right w:val="none" w:sz="0" w:space="0" w:color="auto"/>
      </w:divBdr>
    </w:div>
    <w:div w:id="121114572">
      <w:marLeft w:val="0"/>
      <w:marRight w:val="0"/>
      <w:marTop w:val="200"/>
      <w:marBottom w:val="0"/>
      <w:divBdr>
        <w:top w:val="none" w:sz="0" w:space="0" w:color="auto"/>
        <w:left w:val="none" w:sz="0" w:space="0" w:color="auto"/>
        <w:bottom w:val="none" w:sz="0" w:space="0" w:color="auto"/>
        <w:right w:val="none" w:sz="0" w:space="0" w:color="auto"/>
      </w:divBdr>
    </w:div>
    <w:div w:id="150340859">
      <w:marLeft w:val="0"/>
      <w:marRight w:val="0"/>
      <w:marTop w:val="200"/>
      <w:marBottom w:val="0"/>
      <w:divBdr>
        <w:top w:val="none" w:sz="0" w:space="0" w:color="auto"/>
        <w:left w:val="none" w:sz="0" w:space="0" w:color="auto"/>
        <w:bottom w:val="none" w:sz="0" w:space="0" w:color="auto"/>
        <w:right w:val="none" w:sz="0" w:space="0" w:color="auto"/>
      </w:divBdr>
    </w:div>
    <w:div w:id="273364327">
      <w:marLeft w:val="0"/>
      <w:marRight w:val="0"/>
      <w:marTop w:val="200"/>
      <w:marBottom w:val="0"/>
      <w:divBdr>
        <w:top w:val="none" w:sz="0" w:space="0" w:color="auto"/>
        <w:left w:val="none" w:sz="0" w:space="0" w:color="auto"/>
        <w:bottom w:val="none" w:sz="0" w:space="0" w:color="auto"/>
        <w:right w:val="none" w:sz="0" w:space="0" w:color="auto"/>
      </w:divBdr>
    </w:div>
    <w:div w:id="361327590">
      <w:marLeft w:val="0"/>
      <w:marRight w:val="0"/>
      <w:marTop w:val="200"/>
      <w:marBottom w:val="0"/>
      <w:divBdr>
        <w:top w:val="none" w:sz="0" w:space="0" w:color="auto"/>
        <w:left w:val="none" w:sz="0" w:space="0" w:color="auto"/>
        <w:bottom w:val="none" w:sz="0" w:space="0" w:color="auto"/>
        <w:right w:val="none" w:sz="0" w:space="0" w:color="auto"/>
      </w:divBdr>
    </w:div>
    <w:div w:id="436365367">
      <w:marLeft w:val="0"/>
      <w:marRight w:val="0"/>
      <w:marTop w:val="200"/>
      <w:marBottom w:val="0"/>
      <w:divBdr>
        <w:top w:val="none" w:sz="0" w:space="0" w:color="auto"/>
        <w:left w:val="none" w:sz="0" w:space="0" w:color="auto"/>
        <w:bottom w:val="none" w:sz="0" w:space="0" w:color="auto"/>
        <w:right w:val="none" w:sz="0" w:space="0" w:color="auto"/>
      </w:divBdr>
    </w:div>
    <w:div w:id="469594157">
      <w:marLeft w:val="0"/>
      <w:marRight w:val="0"/>
      <w:marTop w:val="200"/>
      <w:marBottom w:val="0"/>
      <w:divBdr>
        <w:top w:val="none" w:sz="0" w:space="0" w:color="auto"/>
        <w:left w:val="none" w:sz="0" w:space="0" w:color="auto"/>
        <w:bottom w:val="none" w:sz="0" w:space="0" w:color="auto"/>
        <w:right w:val="none" w:sz="0" w:space="0" w:color="auto"/>
      </w:divBdr>
    </w:div>
    <w:div w:id="519008890">
      <w:marLeft w:val="0"/>
      <w:marRight w:val="0"/>
      <w:marTop w:val="200"/>
      <w:marBottom w:val="0"/>
      <w:divBdr>
        <w:top w:val="none" w:sz="0" w:space="0" w:color="auto"/>
        <w:left w:val="none" w:sz="0" w:space="0" w:color="auto"/>
        <w:bottom w:val="none" w:sz="0" w:space="0" w:color="auto"/>
        <w:right w:val="none" w:sz="0" w:space="0" w:color="auto"/>
      </w:divBdr>
    </w:div>
    <w:div w:id="549617003">
      <w:marLeft w:val="0"/>
      <w:marRight w:val="0"/>
      <w:marTop w:val="200"/>
      <w:marBottom w:val="0"/>
      <w:divBdr>
        <w:top w:val="none" w:sz="0" w:space="0" w:color="auto"/>
        <w:left w:val="none" w:sz="0" w:space="0" w:color="auto"/>
        <w:bottom w:val="none" w:sz="0" w:space="0" w:color="auto"/>
        <w:right w:val="none" w:sz="0" w:space="0" w:color="auto"/>
      </w:divBdr>
    </w:div>
    <w:div w:id="556160227">
      <w:marLeft w:val="0"/>
      <w:marRight w:val="0"/>
      <w:marTop w:val="200"/>
      <w:marBottom w:val="0"/>
      <w:divBdr>
        <w:top w:val="none" w:sz="0" w:space="0" w:color="auto"/>
        <w:left w:val="none" w:sz="0" w:space="0" w:color="auto"/>
        <w:bottom w:val="none" w:sz="0" w:space="0" w:color="auto"/>
        <w:right w:val="none" w:sz="0" w:space="0" w:color="auto"/>
      </w:divBdr>
    </w:div>
    <w:div w:id="629625612">
      <w:marLeft w:val="0"/>
      <w:marRight w:val="0"/>
      <w:marTop w:val="200"/>
      <w:marBottom w:val="0"/>
      <w:divBdr>
        <w:top w:val="none" w:sz="0" w:space="0" w:color="auto"/>
        <w:left w:val="none" w:sz="0" w:space="0" w:color="auto"/>
        <w:bottom w:val="none" w:sz="0" w:space="0" w:color="auto"/>
        <w:right w:val="none" w:sz="0" w:space="0" w:color="auto"/>
      </w:divBdr>
    </w:div>
    <w:div w:id="678045244">
      <w:marLeft w:val="0"/>
      <w:marRight w:val="0"/>
      <w:marTop w:val="200"/>
      <w:marBottom w:val="0"/>
      <w:divBdr>
        <w:top w:val="none" w:sz="0" w:space="0" w:color="auto"/>
        <w:left w:val="none" w:sz="0" w:space="0" w:color="auto"/>
        <w:bottom w:val="none" w:sz="0" w:space="0" w:color="auto"/>
        <w:right w:val="none" w:sz="0" w:space="0" w:color="auto"/>
      </w:divBdr>
    </w:div>
    <w:div w:id="685063283">
      <w:marLeft w:val="0"/>
      <w:marRight w:val="0"/>
      <w:marTop w:val="200"/>
      <w:marBottom w:val="0"/>
      <w:divBdr>
        <w:top w:val="none" w:sz="0" w:space="0" w:color="auto"/>
        <w:left w:val="none" w:sz="0" w:space="0" w:color="auto"/>
        <w:bottom w:val="none" w:sz="0" w:space="0" w:color="auto"/>
        <w:right w:val="none" w:sz="0" w:space="0" w:color="auto"/>
      </w:divBdr>
    </w:div>
    <w:div w:id="751197796">
      <w:marLeft w:val="0"/>
      <w:marRight w:val="0"/>
      <w:marTop w:val="200"/>
      <w:marBottom w:val="0"/>
      <w:divBdr>
        <w:top w:val="none" w:sz="0" w:space="0" w:color="auto"/>
        <w:left w:val="none" w:sz="0" w:space="0" w:color="auto"/>
        <w:bottom w:val="none" w:sz="0" w:space="0" w:color="auto"/>
        <w:right w:val="none" w:sz="0" w:space="0" w:color="auto"/>
      </w:divBdr>
    </w:div>
    <w:div w:id="756632782">
      <w:marLeft w:val="0"/>
      <w:marRight w:val="0"/>
      <w:marTop w:val="200"/>
      <w:marBottom w:val="0"/>
      <w:divBdr>
        <w:top w:val="none" w:sz="0" w:space="0" w:color="auto"/>
        <w:left w:val="none" w:sz="0" w:space="0" w:color="auto"/>
        <w:bottom w:val="none" w:sz="0" w:space="0" w:color="auto"/>
        <w:right w:val="none" w:sz="0" w:space="0" w:color="auto"/>
      </w:divBdr>
    </w:div>
    <w:div w:id="780421954">
      <w:marLeft w:val="0"/>
      <w:marRight w:val="0"/>
      <w:marTop w:val="200"/>
      <w:marBottom w:val="0"/>
      <w:divBdr>
        <w:top w:val="none" w:sz="0" w:space="0" w:color="auto"/>
        <w:left w:val="none" w:sz="0" w:space="0" w:color="auto"/>
        <w:bottom w:val="none" w:sz="0" w:space="0" w:color="auto"/>
        <w:right w:val="none" w:sz="0" w:space="0" w:color="auto"/>
      </w:divBdr>
    </w:div>
    <w:div w:id="896169194">
      <w:marLeft w:val="0"/>
      <w:marRight w:val="0"/>
      <w:marTop w:val="200"/>
      <w:marBottom w:val="0"/>
      <w:divBdr>
        <w:top w:val="none" w:sz="0" w:space="0" w:color="auto"/>
        <w:left w:val="none" w:sz="0" w:space="0" w:color="auto"/>
        <w:bottom w:val="none" w:sz="0" w:space="0" w:color="auto"/>
        <w:right w:val="none" w:sz="0" w:space="0" w:color="auto"/>
      </w:divBdr>
    </w:div>
    <w:div w:id="1074741882">
      <w:marLeft w:val="0"/>
      <w:marRight w:val="0"/>
      <w:marTop w:val="200"/>
      <w:marBottom w:val="0"/>
      <w:divBdr>
        <w:top w:val="none" w:sz="0" w:space="0" w:color="auto"/>
        <w:left w:val="none" w:sz="0" w:space="0" w:color="auto"/>
        <w:bottom w:val="none" w:sz="0" w:space="0" w:color="auto"/>
        <w:right w:val="none" w:sz="0" w:space="0" w:color="auto"/>
      </w:divBdr>
    </w:div>
    <w:div w:id="1107314860">
      <w:marLeft w:val="0"/>
      <w:marRight w:val="0"/>
      <w:marTop w:val="200"/>
      <w:marBottom w:val="0"/>
      <w:divBdr>
        <w:top w:val="none" w:sz="0" w:space="0" w:color="auto"/>
        <w:left w:val="none" w:sz="0" w:space="0" w:color="auto"/>
        <w:bottom w:val="none" w:sz="0" w:space="0" w:color="auto"/>
        <w:right w:val="none" w:sz="0" w:space="0" w:color="auto"/>
      </w:divBdr>
    </w:div>
    <w:div w:id="1142382472">
      <w:marLeft w:val="0"/>
      <w:marRight w:val="0"/>
      <w:marTop w:val="0"/>
      <w:marBottom w:val="0"/>
      <w:divBdr>
        <w:top w:val="none" w:sz="0" w:space="0" w:color="auto"/>
        <w:left w:val="none" w:sz="0" w:space="0" w:color="auto"/>
        <w:bottom w:val="none" w:sz="0" w:space="0" w:color="auto"/>
        <w:right w:val="none" w:sz="0" w:space="0" w:color="auto"/>
      </w:divBdr>
    </w:div>
    <w:div w:id="1270161752">
      <w:marLeft w:val="0"/>
      <w:marRight w:val="0"/>
      <w:marTop w:val="200"/>
      <w:marBottom w:val="0"/>
      <w:divBdr>
        <w:top w:val="none" w:sz="0" w:space="0" w:color="auto"/>
        <w:left w:val="none" w:sz="0" w:space="0" w:color="auto"/>
        <w:bottom w:val="none" w:sz="0" w:space="0" w:color="auto"/>
        <w:right w:val="none" w:sz="0" w:space="0" w:color="auto"/>
      </w:divBdr>
    </w:div>
    <w:div w:id="1272007388">
      <w:marLeft w:val="0"/>
      <w:marRight w:val="0"/>
      <w:marTop w:val="200"/>
      <w:marBottom w:val="0"/>
      <w:divBdr>
        <w:top w:val="none" w:sz="0" w:space="0" w:color="auto"/>
        <w:left w:val="none" w:sz="0" w:space="0" w:color="auto"/>
        <w:bottom w:val="none" w:sz="0" w:space="0" w:color="auto"/>
        <w:right w:val="none" w:sz="0" w:space="0" w:color="auto"/>
      </w:divBdr>
    </w:div>
    <w:div w:id="1318922318">
      <w:marLeft w:val="0"/>
      <w:marRight w:val="0"/>
      <w:marTop w:val="200"/>
      <w:marBottom w:val="0"/>
      <w:divBdr>
        <w:top w:val="none" w:sz="0" w:space="0" w:color="auto"/>
        <w:left w:val="none" w:sz="0" w:space="0" w:color="auto"/>
        <w:bottom w:val="none" w:sz="0" w:space="0" w:color="auto"/>
        <w:right w:val="none" w:sz="0" w:space="0" w:color="auto"/>
      </w:divBdr>
    </w:div>
    <w:div w:id="1358576680">
      <w:marLeft w:val="0"/>
      <w:marRight w:val="0"/>
      <w:marTop w:val="200"/>
      <w:marBottom w:val="0"/>
      <w:divBdr>
        <w:top w:val="none" w:sz="0" w:space="0" w:color="auto"/>
        <w:left w:val="none" w:sz="0" w:space="0" w:color="auto"/>
        <w:bottom w:val="none" w:sz="0" w:space="0" w:color="auto"/>
        <w:right w:val="none" w:sz="0" w:space="0" w:color="auto"/>
      </w:divBdr>
    </w:div>
    <w:div w:id="1472937230">
      <w:marLeft w:val="0"/>
      <w:marRight w:val="0"/>
      <w:marTop w:val="200"/>
      <w:marBottom w:val="0"/>
      <w:divBdr>
        <w:top w:val="none" w:sz="0" w:space="0" w:color="auto"/>
        <w:left w:val="none" w:sz="0" w:space="0" w:color="auto"/>
        <w:bottom w:val="none" w:sz="0" w:space="0" w:color="auto"/>
        <w:right w:val="none" w:sz="0" w:space="0" w:color="auto"/>
      </w:divBdr>
    </w:div>
    <w:div w:id="1482622864">
      <w:marLeft w:val="0"/>
      <w:marRight w:val="0"/>
      <w:marTop w:val="200"/>
      <w:marBottom w:val="0"/>
      <w:divBdr>
        <w:top w:val="none" w:sz="0" w:space="0" w:color="auto"/>
        <w:left w:val="none" w:sz="0" w:space="0" w:color="auto"/>
        <w:bottom w:val="none" w:sz="0" w:space="0" w:color="auto"/>
        <w:right w:val="none" w:sz="0" w:space="0" w:color="auto"/>
      </w:divBdr>
    </w:div>
    <w:div w:id="1490513633">
      <w:marLeft w:val="0"/>
      <w:marRight w:val="0"/>
      <w:marTop w:val="200"/>
      <w:marBottom w:val="0"/>
      <w:divBdr>
        <w:top w:val="none" w:sz="0" w:space="0" w:color="auto"/>
        <w:left w:val="none" w:sz="0" w:space="0" w:color="auto"/>
        <w:bottom w:val="none" w:sz="0" w:space="0" w:color="auto"/>
        <w:right w:val="none" w:sz="0" w:space="0" w:color="auto"/>
      </w:divBdr>
    </w:div>
    <w:div w:id="1561867265">
      <w:marLeft w:val="0"/>
      <w:marRight w:val="0"/>
      <w:marTop w:val="200"/>
      <w:marBottom w:val="0"/>
      <w:divBdr>
        <w:top w:val="none" w:sz="0" w:space="0" w:color="auto"/>
        <w:left w:val="none" w:sz="0" w:space="0" w:color="auto"/>
        <w:bottom w:val="none" w:sz="0" w:space="0" w:color="auto"/>
        <w:right w:val="none" w:sz="0" w:space="0" w:color="auto"/>
      </w:divBdr>
    </w:div>
    <w:div w:id="1654945102">
      <w:marLeft w:val="0"/>
      <w:marRight w:val="0"/>
      <w:marTop w:val="200"/>
      <w:marBottom w:val="0"/>
      <w:divBdr>
        <w:top w:val="none" w:sz="0" w:space="0" w:color="auto"/>
        <w:left w:val="none" w:sz="0" w:space="0" w:color="auto"/>
        <w:bottom w:val="none" w:sz="0" w:space="0" w:color="auto"/>
        <w:right w:val="none" w:sz="0" w:space="0" w:color="auto"/>
      </w:divBdr>
    </w:div>
    <w:div w:id="1696269709">
      <w:marLeft w:val="0"/>
      <w:marRight w:val="0"/>
      <w:marTop w:val="200"/>
      <w:marBottom w:val="0"/>
      <w:divBdr>
        <w:top w:val="none" w:sz="0" w:space="0" w:color="auto"/>
        <w:left w:val="none" w:sz="0" w:space="0" w:color="auto"/>
        <w:bottom w:val="none" w:sz="0" w:space="0" w:color="auto"/>
        <w:right w:val="none" w:sz="0" w:space="0" w:color="auto"/>
      </w:divBdr>
    </w:div>
    <w:div w:id="1781606847">
      <w:marLeft w:val="0"/>
      <w:marRight w:val="0"/>
      <w:marTop w:val="200"/>
      <w:marBottom w:val="0"/>
      <w:divBdr>
        <w:top w:val="none" w:sz="0" w:space="0" w:color="auto"/>
        <w:left w:val="none" w:sz="0" w:space="0" w:color="auto"/>
        <w:bottom w:val="none" w:sz="0" w:space="0" w:color="auto"/>
        <w:right w:val="none" w:sz="0" w:space="0" w:color="auto"/>
      </w:divBdr>
    </w:div>
    <w:div w:id="1789162468">
      <w:marLeft w:val="0"/>
      <w:marRight w:val="0"/>
      <w:marTop w:val="200"/>
      <w:marBottom w:val="0"/>
      <w:divBdr>
        <w:top w:val="none" w:sz="0" w:space="0" w:color="auto"/>
        <w:left w:val="none" w:sz="0" w:space="0" w:color="auto"/>
        <w:bottom w:val="none" w:sz="0" w:space="0" w:color="auto"/>
        <w:right w:val="none" w:sz="0" w:space="0" w:color="auto"/>
      </w:divBdr>
    </w:div>
    <w:div w:id="1837265387">
      <w:marLeft w:val="0"/>
      <w:marRight w:val="0"/>
      <w:marTop w:val="200"/>
      <w:marBottom w:val="0"/>
      <w:divBdr>
        <w:top w:val="none" w:sz="0" w:space="0" w:color="auto"/>
        <w:left w:val="none" w:sz="0" w:space="0" w:color="auto"/>
        <w:bottom w:val="none" w:sz="0" w:space="0" w:color="auto"/>
        <w:right w:val="none" w:sz="0" w:space="0" w:color="auto"/>
      </w:divBdr>
    </w:div>
    <w:div w:id="1861162083">
      <w:marLeft w:val="0"/>
      <w:marRight w:val="0"/>
      <w:marTop w:val="200"/>
      <w:marBottom w:val="0"/>
      <w:divBdr>
        <w:top w:val="none" w:sz="0" w:space="0" w:color="auto"/>
        <w:left w:val="none" w:sz="0" w:space="0" w:color="auto"/>
        <w:bottom w:val="none" w:sz="0" w:space="0" w:color="auto"/>
        <w:right w:val="none" w:sz="0" w:space="0" w:color="auto"/>
      </w:divBdr>
    </w:div>
    <w:div w:id="1899974372">
      <w:marLeft w:val="0"/>
      <w:marRight w:val="0"/>
      <w:marTop w:val="200"/>
      <w:marBottom w:val="0"/>
      <w:divBdr>
        <w:top w:val="none" w:sz="0" w:space="0" w:color="auto"/>
        <w:left w:val="none" w:sz="0" w:space="0" w:color="auto"/>
        <w:bottom w:val="none" w:sz="0" w:space="0" w:color="auto"/>
        <w:right w:val="none" w:sz="0" w:space="0" w:color="auto"/>
      </w:divBdr>
    </w:div>
    <w:div w:id="1928152120">
      <w:marLeft w:val="0"/>
      <w:marRight w:val="0"/>
      <w:marTop w:val="200"/>
      <w:marBottom w:val="0"/>
      <w:divBdr>
        <w:top w:val="none" w:sz="0" w:space="0" w:color="auto"/>
        <w:left w:val="none" w:sz="0" w:space="0" w:color="auto"/>
        <w:bottom w:val="none" w:sz="0" w:space="0" w:color="auto"/>
        <w:right w:val="none" w:sz="0" w:space="0" w:color="auto"/>
      </w:divBdr>
    </w:div>
    <w:div w:id="1976569133">
      <w:marLeft w:val="0"/>
      <w:marRight w:val="0"/>
      <w:marTop w:val="200"/>
      <w:marBottom w:val="0"/>
      <w:divBdr>
        <w:top w:val="none" w:sz="0" w:space="0" w:color="auto"/>
        <w:left w:val="none" w:sz="0" w:space="0" w:color="auto"/>
        <w:bottom w:val="none" w:sz="0" w:space="0" w:color="auto"/>
        <w:right w:val="none" w:sz="0" w:space="0" w:color="auto"/>
      </w:divBdr>
    </w:div>
    <w:div w:id="2002388178">
      <w:marLeft w:val="0"/>
      <w:marRight w:val="0"/>
      <w:marTop w:val="200"/>
      <w:marBottom w:val="0"/>
      <w:divBdr>
        <w:top w:val="none" w:sz="0" w:space="0" w:color="auto"/>
        <w:left w:val="none" w:sz="0" w:space="0" w:color="auto"/>
        <w:bottom w:val="none" w:sz="0" w:space="0" w:color="auto"/>
        <w:right w:val="none" w:sz="0" w:space="0" w:color="auto"/>
      </w:divBdr>
    </w:div>
    <w:div w:id="2019887450">
      <w:marLeft w:val="0"/>
      <w:marRight w:val="0"/>
      <w:marTop w:val="200"/>
      <w:marBottom w:val="0"/>
      <w:divBdr>
        <w:top w:val="none" w:sz="0" w:space="0" w:color="auto"/>
        <w:left w:val="none" w:sz="0" w:space="0" w:color="auto"/>
        <w:bottom w:val="none" w:sz="0" w:space="0" w:color="auto"/>
        <w:right w:val="none" w:sz="0" w:space="0" w:color="auto"/>
      </w:divBdr>
    </w:div>
    <w:div w:id="2046328683">
      <w:marLeft w:val="0"/>
      <w:marRight w:val="0"/>
      <w:marTop w:val="20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8023</Words>
  <Characters>47907</Characters>
  <Application>Microsoft Office Word</Application>
  <DocSecurity>0</DocSecurity>
  <Lines>399</Lines>
  <Paragraphs>111</Paragraphs>
  <ScaleCrop>false</ScaleCrop>
  <Company/>
  <LinksUpToDate>false</LinksUpToDate>
  <CharactersWithSpaces>55819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 &gt; Acreditació de les titulacions</dc:title>
  <dc:creator>usuario</dc:creator>
  <cp:lastModifiedBy>usuario</cp:lastModifiedBy>
  <cp:revision>2</cp:revision>
  <dcterms:created xsi:type="dcterms:W3CDTF">2017-12-08T18:11:00Z</dcterms:created>
  <dcterms:modified xsi:type="dcterms:W3CDTF">2017-12-08T18:11:00Z</dcterms:modified>
</cp:coreProperties>
</file>